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2"/>
        <w:shd w:val="clear" w:color="auto" w:fill="FFFFFF"/>
        <w:spacing w:before="0" w:after="225"/>
        <w:ind w:left="0" w:right="0"/>
        <w:rPr>
          <w:rFonts w:ascii="宋体" w:hAnsi="宋体" w:eastAsia="宋体" w:cs="宋体"/>
          <w:b/>
          <w:bCs/>
          <w:sz w:val="30"/>
          <w:szCs w:val="30"/>
          <w:vertAlign w:val="baseline"/>
        </w:rPr>
      </w:pPr>
      <w:r>
        <w:rPr>
          <w:rFonts w:ascii="宋体" w:hAnsi="宋体" w:eastAsia="宋体" w:cs="宋体"/>
          <w:b/>
          <w:bCs/>
          <w:vertAlign w:val="baseline"/>
        </w:rPr>
        <w:t>供电监管办法(2024修订)</w:t>
      </w:r>
    </w:p>
    <w:p>
      <w:pPr>
        <w:pStyle w:val="15"/>
        <w:shd w:val="clear" w:color="auto" w:fill="FFFFFF"/>
        <w:spacing w:before="0" w:after="0" w:line="336" w:lineRule="auto"/>
        <w:ind w:left="0" w:right="0"/>
        <w:jc w:val="center"/>
        <w:rPr>
          <w:color w:val="666666"/>
          <w:vertAlign w:val="baseline"/>
        </w:rPr>
      </w:pPr>
      <w:r>
        <w:rPr>
          <w:color w:val="666666"/>
          <w:vertAlign w:val="baseline"/>
        </w:rPr>
        <w:t xml:space="preserve">供电监管办法 </w:t>
      </w:r>
    </w:p>
    <w:p>
      <w:pPr>
        <w:pStyle w:val="16"/>
        <w:pBdr>
          <w:top w:val="none" w:color="auto" w:sz="0" w:space="0"/>
          <w:left w:val="none" w:color="auto" w:sz="0" w:space="0"/>
          <w:bottom w:val="none" w:color="auto" w:sz="0" w:space="0"/>
          <w:right w:val="none" w:color="auto" w:sz="0" w:space="0"/>
        </w:pBdr>
        <w:shd w:val="clear" w:color="auto" w:fill="FFFFFF"/>
        <w:spacing w:before="150" w:after="150" w:line="336" w:lineRule="auto"/>
        <w:ind w:left="0" w:right="0"/>
        <w:rPr>
          <w:color w:val="666666"/>
          <w:sz w:val="21"/>
          <w:szCs w:val="21"/>
          <w:vertAlign w:val="baseline"/>
        </w:rPr>
      </w:pPr>
      <w:r>
        <w:rPr>
          <w:sz w:val="24"/>
          <w:szCs w:val="24"/>
          <w:vertAlign w:val="baseline"/>
        </w:rPr>
        <w:t xml:space="preserve">　　(2009年11月26日电监会令第27号发布　自2010年1月1日起施行　根据2024年1月4日国家发展改革委令第11号修订) </w:t>
      </w:r>
    </w:p>
    <w:p>
      <w:pPr>
        <w:pStyle w:val="3"/>
        <w:keepNext w:val="0"/>
        <w:shd w:val="clear" w:color="auto" w:fill="FFFFFF"/>
        <w:spacing w:before="0" w:after="0" w:line="336" w:lineRule="auto"/>
        <w:ind w:left="0" w:right="0"/>
        <w:jc w:val="center"/>
        <w:outlineLvl w:val="9"/>
        <w:rPr>
          <w:b/>
          <w:bCs/>
          <w:color w:val="666666"/>
          <w:vertAlign w:val="baseline"/>
        </w:rPr>
      </w:pPr>
      <w:bookmarkStart w:id="0" w:name="sort1_zhang_1"/>
      <w:bookmarkEnd w:id="0"/>
      <w:r>
        <w:rPr>
          <w:rFonts w:ascii="宋体" w:hAnsi="宋体" w:eastAsia="宋体" w:cs="宋体"/>
          <w:i w:val="0"/>
          <w:iCs w:val="0"/>
          <w:color w:val="666666"/>
          <w:vertAlign w:val="baseline"/>
        </w:rPr>
        <w:t xml:space="preserve">第一章　总 则 </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r>
        <w:rPr>
          <w:color w:val="666666"/>
          <w:vertAlign w:val="baseline"/>
        </w:rPr>
        <w:br w:type="textWrapping"/>
      </w:r>
      <w:bookmarkStart w:id="1" w:name="tiao_1"/>
      <w:bookmarkEnd w:id="1"/>
      <w:r>
        <w:rPr>
          <w:rStyle w:val="18"/>
          <w:color w:val="666666"/>
        </w:rPr>
        <w:t>　　</w:t>
      </w:r>
      <w:r>
        <w:rPr>
          <w:rStyle w:val="18"/>
          <w:b/>
          <w:bCs/>
          <w:color w:val="666666"/>
        </w:rPr>
        <w:t>第一条</w:t>
      </w:r>
      <w:bookmarkStart w:id="2" w:name="tiao_1_kuan_1"/>
      <w:bookmarkEnd w:id="2"/>
      <w:r>
        <w:rPr>
          <w:color w:val="666666"/>
          <w:vertAlign w:val="baseline"/>
        </w:rPr>
        <w:t>　为了加强供电监管，规范供电行为，维护供电市场秩序，保护电力使用者的合法权益和社会公共利益，根据《</w:t>
      </w:r>
      <w:r>
        <w:rPr>
          <w:color w:val="666666"/>
          <w:vertAlign w:val="baseline"/>
        </w:rPr>
        <w:fldChar w:fldCharType="begin"/>
      </w:r>
      <w:r>
        <w:rPr>
          <w:color w:val="666666"/>
          <w:vertAlign w:val="baseline"/>
        </w:rPr>
        <w:instrText xml:space="preserve"> HYPERLINK "http://20.2.104.72:18081/" \l "/detail/chl/ea2dfb674e9c5525bdfb" </w:instrText>
      </w:r>
      <w:r>
        <w:rPr>
          <w:color w:val="666666"/>
          <w:vertAlign w:val="baseline"/>
        </w:rPr>
        <w:fldChar w:fldCharType="separate"/>
      </w:r>
      <w:r>
        <w:rPr>
          <w:rStyle w:val="19"/>
        </w:rPr>
        <w:t>电力监管条例</w:t>
      </w:r>
      <w:r>
        <w:rPr>
          <w:rStyle w:val="19"/>
        </w:rPr>
        <w:fldChar w:fldCharType="end"/>
      </w:r>
      <w:r>
        <w:rPr>
          <w:color w:val="666666"/>
          <w:vertAlign w:val="baseline"/>
        </w:rPr>
        <w:t>》和国家有关规定，制定本办法。</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r>
        <w:rPr>
          <w:color w:val="666666"/>
          <w:vertAlign w:val="baseline"/>
        </w:rPr>
        <w:br w:type="textWrapping"/>
      </w:r>
      <w:bookmarkStart w:id="3" w:name="tiao_2"/>
      <w:bookmarkEnd w:id="3"/>
      <w:r>
        <w:rPr>
          <w:rStyle w:val="18"/>
          <w:color w:val="666666"/>
        </w:rPr>
        <w:t>　　</w:t>
      </w:r>
      <w:r>
        <w:rPr>
          <w:rStyle w:val="18"/>
          <w:b/>
          <w:bCs/>
          <w:color w:val="666666"/>
        </w:rPr>
        <w:t>第二条</w:t>
      </w:r>
      <w:bookmarkStart w:id="4" w:name="tiao_2_kuan_1"/>
      <w:bookmarkEnd w:id="4"/>
      <w:r>
        <w:rPr>
          <w:color w:val="666666"/>
          <w:vertAlign w:val="baseline"/>
        </w:rPr>
        <w:t>　国家能源局依照本办法和国家有关规定，履行全国供电监管和行政执法职能。</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5" w:name="tiao_2_kuan_2"/>
      <w:bookmarkEnd w:id="5"/>
      <w:r>
        <w:rPr>
          <w:color w:val="666666"/>
          <w:vertAlign w:val="baseline"/>
        </w:rPr>
        <w:t>　　国家能源局派出机构（以下简称派出机构）负责辖区内供电监管和行政执法工作。</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r>
        <w:rPr>
          <w:color w:val="666666"/>
          <w:vertAlign w:val="baseline"/>
        </w:rPr>
        <w:br w:type="textWrapping"/>
      </w:r>
      <w:bookmarkStart w:id="6" w:name="tiao_3"/>
      <w:bookmarkEnd w:id="6"/>
      <w:r>
        <w:rPr>
          <w:rStyle w:val="18"/>
          <w:color w:val="666666"/>
        </w:rPr>
        <w:t>　　</w:t>
      </w:r>
      <w:r>
        <w:rPr>
          <w:rStyle w:val="18"/>
          <w:b/>
          <w:bCs/>
          <w:color w:val="666666"/>
        </w:rPr>
        <w:t>第三条</w:t>
      </w:r>
      <w:bookmarkStart w:id="7" w:name="tiao_3_kuan_1"/>
      <w:bookmarkEnd w:id="7"/>
      <w:r>
        <w:rPr>
          <w:color w:val="666666"/>
          <w:vertAlign w:val="baseline"/>
        </w:rPr>
        <w:t>　供电监管应当依法进行，并遵循公开、公正和效率的原则。</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r>
        <w:rPr>
          <w:color w:val="666666"/>
          <w:vertAlign w:val="baseline"/>
        </w:rPr>
        <w:br w:type="textWrapping"/>
      </w:r>
      <w:bookmarkStart w:id="8" w:name="tiao_4"/>
      <w:bookmarkEnd w:id="8"/>
      <w:r>
        <w:rPr>
          <w:rStyle w:val="18"/>
          <w:color w:val="666666"/>
        </w:rPr>
        <w:t>　　</w:t>
      </w:r>
      <w:r>
        <w:rPr>
          <w:rStyle w:val="18"/>
          <w:b/>
          <w:bCs/>
          <w:color w:val="666666"/>
        </w:rPr>
        <w:t>第四条</w:t>
      </w:r>
      <w:bookmarkStart w:id="9" w:name="tiao_4_kuan_1"/>
      <w:bookmarkEnd w:id="9"/>
      <w:r>
        <w:rPr>
          <w:color w:val="666666"/>
          <w:vertAlign w:val="baseline"/>
        </w:rPr>
        <w:t>　供电企业应当依法从事供电业务，并接受国家能源局及其派出机构（以下简称电力监管机构）的监管。供电企业依法经营，其合法权益受法律保护。</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10" w:name="tiao_4_kuan_2"/>
      <w:bookmarkEnd w:id="10"/>
      <w:r>
        <w:rPr>
          <w:color w:val="666666"/>
          <w:vertAlign w:val="baseline"/>
        </w:rPr>
        <w:t>　　本办法所称供电企业是指依法取得电力业务许可证、从事供电业务的企业。</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r>
        <w:rPr>
          <w:color w:val="666666"/>
          <w:vertAlign w:val="baseline"/>
        </w:rPr>
        <w:br w:type="textWrapping"/>
      </w:r>
      <w:bookmarkStart w:id="11" w:name="tiao_5"/>
      <w:bookmarkEnd w:id="11"/>
      <w:r>
        <w:rPr>
          <w:rStyle w:val="18"/>
          <w:color w:val="666666"/>
        </w:rPr>
        <w:t>　　</w:t>
      </w:r>
      <w:r>
        <w:rPr>
          <w:rStyle w:val="18"/>
          <w:b/>
          <w:bCs/>
          <w:color w:val="666666"/>
        </w:rPr>
        <w:t>第五条</w:t>
      </w:r>
      <w:bookmarkStart w:id="12" w:name="tiao_5_kuan_1"/>
      <w:bookmarkEnd w:id="12"/>
      <w:r>
        <w:rPr>
          <w:color w:val="666666"/>
          <w:vertAlign w:val="baseline"/>
        </w:rPr>
        <w:t>　任何单位和个人对供电企业违反本办法和国家有关供电监管规定的行为，有权向电力监管机构投诉和举报，电力监管机构应当依法处理。</w:t>
      </w:r>
    </w:p>
    <w:p>
      <w:pPr>
        <w:pStyle w:val="3"/>
        <w:keepNext w:val="0"/>
        <w:shd w:val="clear" w:color="auto" w:fill="FFFFFF"/>
        <w:spacing w:before="0" w:after="0" w:line="336" w:lineRule="auto"/>
        <w:ind w:left="0" w:right="0"/>
        <w:jc w:val="center"/>
        <w:outlineLvl w:val="9"/>
        <w:rPr>
          <w:b/>
          <w:bCs/>
          <w:color w:val="666666"/>
          <w:vertAlign w:val="baseline"/>
        </w:rPr>
      </w:pPr>
      <w:bookmarkStart w:id="13" w:name="sort2_zhang_2"/>
      <w:bookmarkEnd w:id="13"/>
      <w:r>
        <w:rPr>
          <w:rFonts w:ascii="宋体" w:hAnsi="宋体" w:eastAsia="宋体" w:cs="宋体"/>
          <w:i w:val="0"/>
          <w:iCs w:val="0"/>
          <w:color w:val="666666"/>
          <w:vertAlign w:val="baseline"/>
        </w:rPr>
        <w:t>第二章　监管内容</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r>
        <w:rPr>
          <w:color w:val="666666"/>
          <w:vertAlign w:val="baseline"/>
        </w:rPr>
        <w:br w:type="textWrapping"/>
      </w:r>
      <w:bookmarkStart w:id="14" w:name="tiao_6"/>
      <w:bookmarkEnd w:id="14"/>
      <w:r>
        <w:rPr>
          <w:rStyle w:val="18"/>
          <w:color w:val="666666"/>
        </w:rPr>
        <w:t>　　</w:t>
      </w:r>
      <w:r>
        <w:rPr>
          <w:rStyle w:val="18"/>
          <w:b/>
          <w:bCs/>
          <w:color w:val="666666"/>
        </w:rPr>
        <w:t>第六条</w:t>
      </w:r>
      <w:bookmarkStart w:id="15" w:name="tiao_6_kuan_1"/>
      <w:bookmarkEnd w:id="15"/>
      <w:r>
        <w:rPr>
          <w:color w:val="666666"/>
          <w:vertAlign w:val="baseline"/>
        </w:rPr>
        <w:t>　电力监管机构对供电企业的供电能力实施监管。</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16" w:name="tiao_6_kuan_2"/>
      <w:bookmarkEnd w:id="16"/>
      <w:r>
        <w:rPr>
          <w:color w:val="666666"/>
          <w:vertAlign w:val="baseline"/>
        </w:rPr>
        <w:t>　　供电企业应当加强供电设施建设，具有能够满足其供电区域内用电需求的供电能力，保障供电设施的正常运行。</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r>
        <w:rPr>
          <w:color w:val="666666"/>
          <w:vertAlign w:val="baseline"/>
        </w:rPr>
        <w:br w:type="textWrapping"/>
      </w:r>
      <w:bookmarkStart w:id="17" w:name="tiao_7"/>
      <w:bookmarkEnd w:id="17"/>
      <w:r>
        <w:rPr>
          <w:rStyle w:val="18"/>
          <w:color w:val="666666"/>
        </w:rPr>
        <w:t>　　</w:t>
      </w:r>
      <w:r>
        <w:rPr>
          <w:rStyle w:val="18"/>
          <w:b/>
          <w:bCs/>
          <w:color w:val="666666"/>
        </w:rPr>
        <w:t>第七条</w:t>
      </w:r>
      <w:bookmarkStart w:id="18" w:name="tiao_7_kuan_1"/>
      <w:bookmarkEnd w:id="18"/>
      <w:r>
        <w:rPr>
          <w:color w:val="666666"/>
          <w:vertAlign w:val="baseline"/>
        </w:rPr>
        <w:t>　电力监管机构对供电企业的供电质量实施监管。</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19" w:name="tiao_7_kuan_2"/>
      <w:bookmarkEnd w:id="19"/>
      <w:r>
        <w:rPr>
          <w:color w:val="666666"/>
          <w:vertAlign w:val="baseline"/>
        </w:rPr>
        <w:t>　　在电力系统正常的情况下，供电企业的供电质量应当符合下列规定：</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20" w:name="tiao_7_kuan_3"/>
      <w:bookmarkEnd w:id="20"/>
      <w:r>
        <w:rPr>
          <w:color w:val="666666"/>
          <w:vertAlign w:val="baseline"/>
        </w:rPr>
        <w:t>　　(一)向用户提供的电能质量符合国家标准或者电力行业标准；</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21" w:name="tiao_7_kuan_4"/>
      <w:bookmarkEnd w:id="21"/>
      <w:r>
        <w:rPr>
          <w:color w:val="666666"/>
          <w:vertAlign w:val="baseline"/>
        </w:rPr>
        <w:t>　　(二)城市地区年供电可靠率不低于99%，城市居民用户受电端电压合格率不低于95%，10千伏以上供电用户受电端电压合格率不低于98%；</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22" w:name="tiao_7_kuan_5"/>
      <w:bookmarkEnd w:id="22"/>
      <w:r>
        <w:rPr>
          <w:color w:val="666666"/>
          <w:vertAlign w:val="baseline"/>
        </w:rPr>
        <w:t>　　(三)农村地区年供电可靠率和农村居民用户受电端电压合格率符合派出机构的规定。派出机构有关农村地区年供电可靠率和农村居民用户受电端电压合格率的规定，应当报国家能源局备案。</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23" w:name="tiao_7_kuan_6"/>
      <w:bookmarkEnd w:id="23"/>
      <w:r>
        <w:rPr>
          <w:color w:val="666666"/>
          <w:vertAlign w:val="baseline"/>
        </w:rPr>
        <w:t>　　供电企业应当审核用电设施产生谐波、冲击负荷的情况，按照国家有关规定拒绝不符合规定的用电设施接入电网。用电设施产生谐波、冲击负荷影响供电质量或者干扰电力系统安全运行的，供电企业应当及时告知用户采取有效措施予以消除；用户不采取措施或者采取措施不力，产生的谐波、冲击负荷仍超过国家标准的，供电企业可以按照国家有关规定拒绝其接入电网或者中止供电。</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r>
        <w:rPr>
          <w:color w:val="666666"/>
          <w:vertAlign w:val="baseline"/>
        </w:rPr>
        <w:br w:type="textWrapping"/>
      </w:r>
      <w:bookmarkStart w:id="24" w:name="tiao_8"/>
      <w:bookmarkEnd w:id="24"/>
      <w:r>
        <w:rPr>
          <w:rStyle w:val="18"/>
          <w:color w:val="666666"/>
        </w:rPr>
        <w:t>　　</w:t>
      </w:r>
      <w:r>
        <w:rPr>
          <w:rStyle w:val="18"/>
          <w:b/>
          <w:bCs/>
          <w:color w:val="666666"/>
        </w:rPr>
        <w:t>第八条</w:t>
      </w:r>
      <w:bookmarkStart w:id="25" w:name="tiao_8_kuan_1"/>
      <w:bookmarkEnd w:id="25"/>
      <w:r>
        <w:rPr>
          <w:color w:val="666666"/>
          <w:vertAlign w:val="baseline"/>
        </w:rPr>
        <w:t>　电力监管机构对供电企业设置电压监测点的情况实施监管。</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26" w:name="tiao_8_kuan_2"/>
      <w:bookmarkEnd w:id="26"/>
      <w:r>
        <w:rPr>
          <w:color w:val="666666"/>
          <w:vertAlign w:val="baseline"/>
        </w:rPr>
        <w:t>　　供电企业应当按照下列规定选择电压监测点：</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27" w:name="tiao_8_kuan_3"/>
      <w:bookmarkEnd w:id="27"/>
      <w:r>
        <w:rPr>
          <w:color w:val="666666"/>
          <w:vertAlign w:val="baseline"/>
        </w:rPr>
        <w:t>　　(一)35千伏专线供电用户和110千伏以上供电用户应当设置电压监测点；</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28" w:name="tiao_8_kuan_4"/>
      <w:bookmarkEnd w:id="28"/>
      <w:r>
        <w:rPr>
          <w:color w:val="666666"/>
          <w:vertAlign w:val="baseline"/>
        </w:rPr>
        <w:t>　　(二)35千伏非专线供电用户或者66千伏供电用户、10(6、20)千伏供电用户，每10000千瓦负荷选择具有代表性的用户设置1个以上电压监测点，所选用户应当包括对供电质量有较高要求的重要电力用户和变电站10(6、20)千伏母线所带具有代表性线路的末端用户；</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29" w:name="tiao_8_kuan_5"/>
      <w:bookmarkEnd w:id="29"/>
      <w:r>
        <w:rPr>
          <w:color w:val="666666"/>
          <w:vertAlign w:val="baseline"/>
        </w:rPr>
        <w:t>　　(三)低压供电用户，每百台配电变压器选择具有代表性的用户设置1个以上电压监测点，所选用户应当是重要电力用户和低压配电网的首末两端用户。</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30" w:name="tiao_8_kuan_6"/>
      <w:bookmarkEnd w:id="30"/>
      <w:r>
        <w:rPr>
          <w:color w:val="666666"/>
          <w:vertAlign w:val="baseline"/>
        </w:rPr>
        <w:t>　　供电企业应当按照国家有关规定选择、安装、校验电压监测装置，监测和统计用户电压情况。监测数据和统计数据应当及时、真实、完整，并按照要求及时报送电力监管机构。</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r>
        <w:rPr>
          <w:color w:val="666666"/>
          <w:vertAlign w:val="baseline"/>
        </w:rPr>
        <w:br w:type="textWrapping"/>
      </w:r>
      <w:bookmarkStart w:id="31" w:name="tiao_9"/>
      <w:bookmarkEnd w:id="31"/>
      <w:r>
        <w:rPr>
          <w:rStyle w:val="18"/>
          <w:color w:val="666666"/>
        </w:rPr>
        <w:t>　　</w:t>
      </w:r>
      <w:r>
        <w:rPr>
          <w:rStyle w:val="18"/>
          <w:b/>
          <w:bCs/>
          <w:color w:val="666666"/>
        </w:rPr>
        <w:t>第九条</w:t>
      </w:r>
      <w:bookmarkStart w:id="32" w:name="tiao_9_kuan_1"/>
      <w:bookmarkEnd w:id="32"/>
      <w:r>
        <w:rPr>
          <w:color w:val="666666"/>
          <w:vertAlign w:val="baseline"/>
        </w:rPr>
        <w:t>　电力监管机构对供电企业保障供电安全的情况实施监管。</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33" w:name="tiao_9_kuan_2"/>
      <w:bookmarkEnd w:id="33"/>
      <w:r>
        <w:rPr>
          <w:color w:val="666666"/>
          <w:vertAlign w:val="baseline"/>
        </w:rPr>
        <w:t>　　供电企业应当坚持安全第一、预防为主、综合治理的方针，遵守有关供电安全的法律、法规和规章，加强供电安全管理，建立、健全供电安全责任制度，完善安全供电条件，维护电力系统安全稳定运行，依法处置供电突发事件，保障电力稳定、可靠供应。</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34" w:name="tiao_9_kuan_3"/>
      <w:bookmarkEnd w:id="34"/>
      <w:r>
        <w:rPr>
          <w:color w:val="666666"/>
          <w:vertAlign w:val="baseline"/>
        </w:rPr>
        <w:t>　　供电企业应当按照国家有关规定加强重要电力用户安全供电管理，指导重要电力用户配置和使用自备应急电源，建立自备应急电源基础档案数据库。</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35" w:name="tiao_9_kuan_4"/>
      <w:bookmarkEnd w:id="35"/>
      <w:r>
        <w:rPr>
          <w:color w:val="666666"/>
          <w:vertAlign w:val="baseline"/>
        </w:rPr>
        <w:t>　　供电企业发现用电设施存在安全隐患，应当及时告知用户采取有效措施进行治理。用户应当按照国家有关规定消除用电设施安全隐患。用电设施存在严重威胁电力系统安全运行和人身安全的隐患，用户拒不治理的，供电企业可以按照国家有关规定对该用户中止供电。</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r>
        <w:rPr>
          <w:color w:val="666666"/>
          <w:vertAlign w:val="baseline"/>
        </w:rPr>
        <w:br w:type="textWrapping"/>
      </w:r>
      <w:bookmarkStart w:id="36" w:name="tiao_10"/>
      <w:bookmarkEnd w:id="36"/>
      <w:r>
        <w:rPr>
          <w:rStyle w:val="18"/>
          <w:color w:val="666666"/>
        </w:rPr>
        <w:t>　　</w:t>
      </w:r>
      <w:r>
        <w:rPr>
          <w:rStyle w:val="18"/>
          <w:b/>
          <w:bCs/>
          <w:color w:val="666666"/>
        </w:rPr>
        <w:t>第十条</w:t>
      </w:r>
      <w:bookmarkStart w:id="37" w:name="tiao_10_kuan_1"/>
      <w:bookmarkEnd w:id="37"/>
      <w:r>
        <w:rPr>
          <w:color w:val="666666"/>
          <w:vertAlign w:val="baseline"/>
        </w:rPr>
        <w:t>　电力监管机构对供电企业履行电力社会普遍服务义务的情况实施监管。</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38" w:name="tiao_10_kuan_2"/>
      <w:bookmarkEnd w:id="38"/>
      <w:r>
        <w:rPr>
          <w:color w:val="666666"/>
          <w:vertAlign w:val="baseline"/>
        </w:rPr>
        <w:t>　　供电企业应当按照国家规定履行电力社会普遍服务义务，依法保障任何人能够按照国家规定的价格获得最基本的供电服务。</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r>
        <w:rPr>
          <w:color w:val="666666"/>
          <w:vertAlign w:val="baseline"/>
        </w:rPr>
        <w:br w:type="textWrapping"/>
      </w:r>
      <w:bookmarkStart w:id="39" w:name="tiao_11"/>
      <w:bookmarkEnd w:id="39"/>
      <w:r>
        <w:rPr>
          <w:rStyle w:val="18"/>
          <w:color w:val="666666"/>
        </w:rPr>
        <w:t>　　</w:t>
      </w:r>
      <w:r>
        <w:rPr>
          <w:rStyle w:val="18"/>
          <w:b/>
          <w:bCs/>
          <w:color w:val="666666"/>
        </w:rPr>
        <w:t>第十一条</w:t>
      </w:r>
      <w:bookmarkStart w:id="40" w:name="tiao_11_kuan_1"/>
      <w:bookmarkEnd w:id="40"/>
      <w:r>
        <w:rPr>
          <w:color w:val="666666"/>
          <w:vertAlign w:val="baseline"/>
        </w:rPr>
        <w:t>　电力监管机构对供电企业办理用电业务的情况实施监管。</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41" w:name="tiao_11_kuan_2"/>
      <w:bookmarkEnd w:id="41"/>
      <w:r>
        <w:rPr>
          <w:color w:val="666666"/>
          <w:vertAlign w:val="baseline"/>
        </w:rPr>
        <w:t>　　供电企业应当按照国家规定的流程、时限等要求为用户提供便捷高效的用电报装服务。</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r>
        <w:rPr>
          <w:color w:val="666666"/>
          <w:vertAlign w:val="baseline"/>
        </w:rPr>
        <w:br w:type="textWrapping"/>
      </w:r>
      <w:bookmarkStart w:id="42" w:name="tiao_12"/>
      <w:bookmarkEnd w:id="42"/>
      <w:r>
        <w:rPr>
          <w:rStyle w:val="18"/>
          <w:color w:val="666666"/>
        </w:rPr>
        <w:t>　　</w:t>
      </w:r>
      <w:r>
        <w:rPr>
          <w:rStyle w:val="18"/>
          <w:b/>
          <w:bCs/>
          <w:color w:val="666666"/>
        </w:rPr>
        <w:t>第十二条</w:t>
      </w:r>
      <w:bookmarkStart w:id="43" w:name="tiao_12_kuan_1"/>
      <w:bookmarkEnd w:id="43"/>
      <w:r>
        <w:rPr>
          <w:color w:val="666666"/>
          <w:vertAlign w:val="baseline"/>
        </w:rPr>
        <w:t>　电力监管机构对供电企业向用户受电工程提供服务的情况实施监管。</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44" w:name="tiao_12_kuan_2"/>
      <w:bookmarkEnd w:id="44"/>
      <w:r>
        <w:rPr>
          <w:color w:val="666666"/>
          <w:vertAlign w:val="baseline"/>
        </w:rPr>
        <w:t>　　供电企业应当对用户受电工程建设提供必要的业务咨询和技术标准咨询；对用户受电工程进行中间检查和竣工检验，应当执行国家有关标准；发现用户受电设施存在故障隐患时，应当及时一次性书面告知用户并指导其予以消除；发现用户受电设施存在严重威胁电力系统安全运行和人身安全的隐患时，应当指导其立即消除，在隐患消除前不得送电。</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r>
        <w:rPr>
          <w:color w:val="666666"/>
          <w:vertAlign w:val="baseline"/>
        </w:rPr>
        <w:br w:type="textWrapping"/>
      </w:r>
      <w:bookmarkStart w:id="45" w:name="tiao_13"/>
      <w:bookmarkEnd w:id="45"/>
      <w:r>
        <w:rPr>
          <w:rStyle w:val="18"/>
          <w:color w:val="666666"/>
        </w:rPr>
        <w:t>　　</w:t>
      </w:r>
      <w:r>
        <w:rPr>
          <w:rStyle w:val="18"/>
          <w:b/>
          <w:bCs/>
          <w:color w:val="666666"/>
        </w:rPr>
        <w:t>第十三条</w:t>
      </w:r>
      <w:bookmarkStart w:id="46" w:name="tiao_13_kuan_1"/>
      <w:bookmarkEnd w:id="46"/>
      <w:r>
        <w:rPr>
          <w:color w:val="666666"/>
          <w:vertAlign w:val="baseline"/>
        </w:rPr>
        <w:t>　电力监管机构对供电企业实施停电、限电或者中止供电的情况进行监管。</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47" w:name="tiao_13_kuan_2"/>
      <w:bookmarkEnd w:id="47"/>
      <w:r>
        <w:rPr>
          <w:color w:val="666666"/>
          <w:vertAlign w:val="baseline"/>
        </w:rPr>
        <w:t>　　在电力系统正常的情况下，供电企业应当连续向用户供电。需要停电或者限电的，应当符合下列规定：</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48" w:name="tiao_13_kuan_3"/>
      <w:bookmarkEnd w:id="48"/>
      <w:r>
        <w:rPr>
          <w:color w:val="666666"/>
          <w:vertAlign w:val="baseline"/>
        </w:rPr>
        <w:t>　　(一)因供电设施计划检修需要停电的，供电企业应当提前7日公告停电区域、停电线路、停电时间；</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49" w:name="tiao_13_kuan_4"/>
      <w:bookmarkEnd w:id="49"/>
      <w:r>
        <w:rPr>
          <w:color w:val="666666"/>
          <w:vertAlign w:val="baseline"/>
        </w:rPr>
        <w:t>　　(二)因供电设施临时检修需要停电的，供电企业应当提前24小时公告停电区域、停电线路、停电时间；</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50" w:name="tiao_13_kuan_5"/>
      <w:bookmarkEnd w:id="50"/>
      <w:r>
        <w:rPr>
          <w:color w:val="666666"/>
          <w:vertAlign w:val="baseline"/>
        </w:rPr>
        <w:t>　　(三)因电网发生故障或者电力供需紧张等原因需要停电、限电的，供电企业应当按照所在地人民政府批准的有序用电方案或者事故应急处置方案执行。</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51" w:name="tiao_13_kuan_6"/>
      <w:bookmarkEnd w:id="51"/>
      <w:r>
        <w:rPr>
          <w:color w:val="666666"/>
          <w:vertAlign w:val="baseline"/>
        </w:rPr>
        <w:t>　　引起停电或者限电的原因消除后，供电企业应当尽快恢复正常供电。</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52" w:name="tiao_13_kuan_7"/>
      <w:bookmarkEnd w:id="52"/>
      <w:r>
        <w:rPr>
          <w:color w:val="666666"/>
          <w:vertAlign w:val="baseline"/>
        </w:rPr>
        <w:t>　　供电企业对用户中止供电应当按照国家有关规定执行。</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53" w:name="tiao_13_kuan_8"/>
      <w:bookmarkEnd w:id="53"/>
      <w:r>
        <w:rPr>
          <w:color w:val="666666"/>
          <w:vertAlign w:val="baseline"/>
        </w:rPr>
        <w:t>　　供电企业对重要电力用户实施停电、限电、中止供电或者恢复供电，应当按照国家有关规定执行。</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r>
        <w:rPr>
          <w:color w:val="666666"/>
          <w:vertAlign w:val="baseline"/>
        </w:rPr>
        <w:br w:type="textWrapping"/>
      </w:r>
      <w:bookmarkStart w:id="54" w:name="tiao_14"/>
      <w:bookmarkEnd w:id="54"/>
      <w:r>
        <w:rPr>
          <w:rStyle w:val="18"/>
          <w:color w:val="666666"/>
        </w:rPr>
        <w:t>　　</w:t>
      </w:r>
      <w:r>
        <w:rPr>
          <w:rStyle w:val="18"/>
          <w:b/>
          <w:bCs/>
          <w:color w:val="666666"/>
        </w:rPr>
        <w:t>第十四条</w:t>
      </w:r>
      <w:bookmarkStart w:id="55" w:name="tiao_14_kuan_1"/>
      <w:bookmarkEnd w:id="55"/>
      <w:r>
        <w:rPr>
          <w:color w:val="666666"/>
          <w:vertAlign w:val="baseline"/>
        </w:rPr>
        <w:t>　电力监管机构对供电企业处理供电故障的情况实施监管。</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56" w:name="tiao_14_kuan_2"/>
      <w:bookmarkEnd w:id="56"/>
      <w:r>
        <w:rPr>
          <w:color w:val="666666"/>
          <w:vertAlign w:val="baseline"/>
        </w:rPr>
        <w:t>　　供电企业应当建立完善的报修服务制度，公开报修电话，保持电话畅通，24小时受理供电故障报修。</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57" w:name="tiao_14_kuan_3"/>
      <w:bookmarkEnd w:id="57"/>
      <w:r>
        <w:rPr>
          <w:color w:val="666666"/>
          <w:vertAlign w:val="baseline"/>
        </w:rPr>
        <w:t>　　供电企业应当迅速组织人员处理供电故障，尽快恢复正常供电。供电企业工作人员到达现场抢修的时限，自接到报修之时起，城区范围不超过60分钟，农村地区不超过120分钟，边远、交通不便地区不超过240分钟。因天气、交通等特殊原因无法在规定时限内到达现场的，应当向用户做出解释。</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r>
        <w:rPr>
          <w:color w:val="666666"/>
          <w:vertAlign w:val="baseline"/>
        </w:rPr>
        <w:br w:type="textWrapping"/>
      </w:r>
      <w:bookmarkStart w:id="58" w:name="tiao_15"/>
      <w:bookmarkEnd w:id="58"/>
      <w:r>
        <w:rPr>
          <w:rStyle w:val="18"/>
          <w:color w:val="666666"/>
        </w:rPr>
        <w:t>　　</w:t>
      </w:r>
      <w:r>
        <w:rPr>
          <w:rStyle w:val="18"/>
          <w:b/>
          <w:bCs/>
          <w:color w:val="666666"/>
        </w:rPr>
        <w:t>第十五条</w:t>
      </w:r>
      <w:bookmarkStart w:id="59" w:name="tiao_15_kuan_1"/>
      <w:bookmarkEnd w:id="59"/>
      <w:r>
        <w:rPr>
          <w:color w:val="666666"/>
          <w:vertAlign w:val="baseline"/>
        </w:rPr>
        <w:t>　电力监管机构对供电企业履行紧急供电义务的情况实施监管。</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60" w:name="tiao_15_kuan_2"/>
      <w:bookmarkEnd w:id="60"/>
      <w:r>
        <w:rPr>
          <w:color w:val="666666"/>
          <w:vertAlign w:val="baseline"/>
        </w:rPr>
        <w:t>　　因抢险救灾、突发事件需要紧急供电时，供电企业应当及时提供电力供应。</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r>
        <w:rPr>
          <w:color w:val="666666"/>
          <w:vertAlign w:val="baseline"/>
        </w:rPr>
        <w:br w:type="textWrapping"/>
      </w:r>
      <w:bookmarkStart w:id="61" w:name="tiao_16"/>
      <w:bookmarkEnd w:id="61"/>
      <w:r>
        <w:rPr>
          <w:rStyle w:val="18"/>
          <w:color w:val="666666"/>
        </w:rPr>
        <w:t>　　</w:t>
      </w:r>
      <w:r>
        <w:rPr>
          <w:rStyle w:val="18"/>
          <w:b/>
          <w:bCs/>
          <w:color w:val="666666"/>
        </w:rPr>
        <w:t>第十六条</w:t>
      </w:r>
      <w:bookmarkStart w:id="62" w:name="tiao_16_kuan_1"/>
      <w:bookmarkEnd w:id="62"/>
      <w:r>
        <w:rPr>
          <w:color w:val="666666"/>
          <w:vertAlign w:val="baseline"/>
        </w:rPr>
        <w:t>　电力监管机构对供电企业处理用电投诉的情况实施监管。</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63" w:name="tiao_16_kuan_2"/>
      <w:bookmarkEnd w:id="63"/>
      <w:r>
        <w:rPr>
          <w:color w:val="666666"/>
          <w:vertAlign w:val="baseline"/>
        </w:rPr>
        <w:t>　　供电企业应当建立用电投诉处理制度，公开投诉电话。对用户的投诉，供电企业应当自接到投诉之日起10个工作日内提出处理意见并答复用户。</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64" w:name="tiao_16_kuan_3"/>
      <w:bookmarkEnd w:id="64"/>
      <w:r>
        <w:rPr>
          <w:color w:val="666666"/>
          <w:vertAlign w:val="baseline"/>
        </w:rPr>
        <w:t>　　供电企业应当在供电营业场所设置公布电力服务热线电话和电力监管投诉举报电话的标识，该标识应当固定在供电营业场所的显著位置。</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r>
        <w:rPr>
          <w:color w:val="666666"/>
          <w:vertAlign w:val="baseline"/>
        </w:rPr>
        <w:br w:type="textWrapping"/>
      </w:r>
      <w:bookmarkStart w:id="65" w:name="tiao_17"/>
      <w:bookmarkEnd w:id="65"/>
      <w:r>
        <w:rPr>
          <w:rStyle w:val="18"/>
          <w:color w:val="666666"/>
        </w:rPr>
        <w:t>　　</w:t>
      </w:r>
      <w:r>
        <w:rPr>
          <w:rStyle w:val="18"/>
          <w:b/>
          <w:bCs/>
          <w:color w:val="666666"/>
        </w:rPr>
        <w:t>第十七条</w:t>
      </w:r>
      <w:bookmarkStart w:id="66" w:name="tiao_17_kuan_1"/>
      <w:bookmarkEnd w:id="66"/>
      <w:r>
        <w:rPr>
          <w:color w:val="666666"/>
          <w:vertAlign w:val="baseline"/>
        </w:rPr>
        <w:t>　电力监管机构对供电企业执行国家有关电力行政许可规定的情况实施监管。</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67" w:name="tiao_17_kuan_2"/>
      <w:bookmarkEnd w:id="67"/>
      <w:r>
        <w:rPr>
          <w:color w:val="666666"/>
          <w:vertAlign w:val="baseline"/>
        </w:rPr>
        <w:t>　　供电企业应当遵守国家有关供电营业区、供电业务许可和承装（修、试）电力设施许可等规定。</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r>
        <w:rPr>
          <w:color w:val="666666"/>
          <w:vertAlign w:val="baseline"/>
        </w:rPr>
        <w:br w:type="textWrapping"/>
      </w:r>
      <w:bookmarkStart w:id="68" w:name="tiao_18"/>
      <w:bookmarkEnd w:id="68"/>
      <w:r>
        <w:rPr>
          <w:rStyle w:val="18"/>
          <w:color w:val="666666"/>
        </w:rPr>
        <w:t>　　</w:t>
      </w:r>
      <w:r>
        <w:rPr>
          <w:rStyle w:val="18"/>
          <w:b/>
          <w:bCs/>
          <w:color w:val="666666"/>
        </w:rPr>
        <w:t>第十八条</w:t>
      </w:r>
      <w:bookmarkStart w:id="69" w:name="tiao_18_kuan_1"/>
      <w:bookmarkEnd w:id="69"/>
      <w:r>
        <w:rPr>
          <w:color w:val="666666"/>
          <w:vertAlign w:val="baseline"/>
        </w:rPr>
        <w:t>　电力监管机构对供电企业公平、无歧视开放供电市场的情况实施监管。</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70" w:name="tiao_18_kuan_2"/>
      <w:bookmarkEnd w:id="70"/>
      <w:r>
        <w:rPr>
          <w:color w:val="666666"/>
          <w:vertAlign w:val="baseline"/>
        </w:rPr>
        <w:t>　　供电企业不得从事下列行为：</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71" w:name="tiao_18_kuan_3"/>
      <w:bookmarkEnd w:id="71"/>
      <w:r>
        <w:rPr>
          <w:color w:val="666666"/>
          <w:vertAlign w:val="baseline"/>
        </w:rPr>
        <w:t>　　(一)无正当理由拒绝用户用电申请；</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72" w:name="tiao_18_kuan_4"/>
      <w:bookmarkEnd w:id="72"/>
      <w:r>
        <w:rPr>
          <w:color w:val="666666"/>
          <w:vertAlign w:val="baseline"/>
        </w:rPr>
        <w:t>　　(二)对趸购转售电企业符合国家规定条件的输配电设施，拒绝或者拖延接入系统；</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73" w:name="tiao_18_kuan_5"/>
      <w:bookmarkEnd w:id="73"/>
      <w:r>
        <w:rPr>
          <w:color w:val="666666"/>
          <w:vertAlign w:val="baseline"/>
        </w:rPr>
        <w:t>　　(三)违反市场竞争规则，以不正当手段损害竞争对手的商业信誉或者排挤竞争对手；</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74" w:name="tiao_18_kuan_6"/>
      <w:bookmarkEnd w:id="74"/>
      <w:r>
        <w:rPr>
          <w:color w:val="666666"/>
          <w:vertAlign w:val="baseline"/>
        </w:rPr>
        <w:t>　　(四)对用户受电工程指定设计单位、施工单位和设备材料供应单位；</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75" w:name="tiao_18_kuan_7"/>
      <w:bookmarkEnd w:id="75"/>
      <w:r>
        <w:rPr>
          <w:color w:val="666666"/>
          <w:vertAlign w:val="baseline"/>
        </w:rPr>
        <w:t>　　(五)其他违反国家有关公平竞争规定的行为。</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r>
        <w:rPr>
          <w:color w:val="666666"/>
          <w:vertAlign w:val="baseline"/>
        </w:rPr>
        <w:br w:type="textWrapping"/>
      </w:r>
      <w:bookmarkStart w:id="76" w:name="tiao_19"/>
      <w:bookmarkEnd w:id="76"/>
      <w:r>
        <w:rPr>
          <w:rStyle w:val="18"/>
          <w:color w:val="666666"/>
        </w:rPr>
        <w:t>　　</w:t>
      </w:r>
      <w:r>
        <w:rPr>
          <w:rStyle w:val="18"/>
          <w:b/>
          <w:bCs/>
          <w:color w:val="666666"/>
        </w:rPr>
        <w:t>第十九条</w:t>
      </w:r>
      <w:bookmarkStart w:id="77" w:name="tiao_19_kuan_1"/>
      <w:bookmarkEnd w:id="77"/>
      <w:r>
        <w:rPr>
          <w:color w:val="666666"/>
          <w:vertAlign w:val="baseline"/>
        </w:rPr>
        <w:t>　电力监管机构对供电企业执行国家规定的电价政策和收费标准的情况实施监管。</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78" w:name="tiao_19_kuan_2"/>
      <w:bookmarkEnd w:id="78"/>
      <w:r>
        <w:rPr>
          <w:color w:val="666666"/>
          <w:vertAlign w:val="baseline"/>
        </w:rPr>
        <w:t>　　供电企业应当严格执行国家电价政策，按照国家核准电价或者市场交易价，依据计量检定机构依法认可的用电计量装置的记录，向用户计收电费。</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79" w:name="tiao_19_kuan_3"/>
      <w:bookmarkEnd w:id="79"/>
      <w:r>
        <w:rPr>
          <w:color w:val="666666"/>
          <w:vertAlign w:val="baseline"/>
        </w:rPr>
        <w:t>　　供电企业不得自定电价，不得擅自变更电价，不得擅自在电费中加收或者代收国家政策规定以外的其他费用。</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80" w:name="tiao_19_kuan_4"/>
      <w:bookmarkEnd w:id="80"/>
      <w:r>
        <w:rPr>
          <w:color w:val="666666"/>
          <w:vertAlign w:val="baseline"/>
        </w:rPr>
        <w:t>　　供电企业不得自立项目或者自定标准收费；对国家已经明令取缔的收费项目，不得向用户收取费用。</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81" w:name="tiao_19_kuan_5"/>
      <w:bookmarkEnd w:id="81"/>
      <w:r>
        <w:rPr>
          <w:color w:val="666666"/>
          <w:vertAlign w:val="baseline"/>
        </w:rPr>
        <w:t>　　供电企业应用户要求对产权属于用户的电气设备提供有偿服务时，应当执行政府定价或者政府指导价。没有政府定价和政府指导价的，参照市场价格协商确定。</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r>
        <w:rPr>
          <w:color w:val="666666"/>
          <w:vertAlign w:val="baseline"/>
        </w:rPr>
        <w:br w:type="textWrapping"/>
      </w:r>
      <w:bookmarkStart w:id="82" w:name="tiao_20"/>
      <w:bookmarkEnd w:id="82"/>
      <w:r>
        <w:rPr>
          <w:rStyle w:val="18"/>
          <w:color w:val="666666"/>
        </w:rPr>
        <w:t>　　</w:t>
      </w:r>
      <w:r>
        <w:rPr>
          <w:rStyle w:val="18"/>
          <w:b/>
          <w:bCs/>
          <w:color w:val="666666"/>
        </w:rPr>
        <w:t>第二十条</w:t>
      </w:r>
      <w:bookmarkStart w:id="83" w:name="tiao_20_kuan_1"/>
      <w:bookmarkEnd w:id="83"/>
      <w:r>
        <w:rPr>
          <w:color w:val="666666"/>
          <w:vertAlign w:val="baseline"/>
        </w:rPr>
        <w:t>　电力监管机构对供电企业签订供用电合同的情况实施监管。</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84" w:name="tiao_20_kuan_2"/>
      <w:bookmarkEnd w:id="84"/>
      <w:r>
        <w:rPr>
          <w:color w:val="666666"/>
          <w:vertAlign w:val="baseline"/>
        </w:rPr>
        <w:t>　　供电企业应当按照国家有关规定，遵循平等自愿、协商一致、诚实信用的原则，与用户、趸购转售电单位签订供用电合同，并按照合同约定供电。</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r>
        <w:rPr>
          <w:color w:val="666666"/>
          <w:vertAlign w:val="baseline"/>
        </w:rPr>
        <w:br w:type="textWrapping"/>
      </w:r>
      <w:bookmarkStart w:id="85" w:name="tiao_21"/>
      <w:bookmarkEnd w:id="85"/>
      <w:r>
        <w:rPr>
          <w:rStyle w:val="18"/>
          <w:color w:val="666666"/>
        </w:rPr>
        <w:t>　　</w:t>
      </w:r>
      <w:r>
        <w:rPr>
          <w:rStyle w:val="18"/>
          <w:b/>
          <w:bCs/>
          <w:color w:val="666666"/>
        </w:rPr>
        <w:t>第二十一条</w:t>
      </w:r>
      <w:bookmarkStart w:id="86" w:name="tiao_21_kuan_1"/>
      <w:bookmarkEnd w:id="86"/>
      <w:r>
        <w:rPr>
          <w:color w:val="666666"/>
          <w:vertAlign w:val="baseline"/>
        </w:rPr>
        <w:t>　电力监管机构对供电企业执行国家规定的成本规则的情况实施监管。</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87" w:name="tiao_21_kuan_2"/>
      <w:bookmarkEnd w:id="87"/>
      <w:r>
        <w:rPr>
          <w:color w:val="666666"/>
          <w:vertAlign w:val="baseline"/>
        </w:rPr>
        <w:t>　　供电企业应当按照国家有关成本的规定核算成本。</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r>
        <w:rPr>
          <w:color w:val="666666"/>
          <w:vertAlign w:val="baseline"/>
        </w:rPr>
        <w:br w:type="textWrapping"/>
      </w:r>
      <w:bookmarkStart w:id="88" w:name="tiao_22"/>
      <w:bookmarkEnd w:id="88"/>
      <w:r>
        <w:rPr>
          <w:rStyle w:val="18"/>
          <w:color w:val="666666"/>
        </w:rPr>
        <w:t>　　</w:t>
      </w:r>
      <w:r>
        <w:rPr>
          <w:rStyle w:val="18"/>
          <w:b/>
          <w:bCs/>
          <w:color w:val="666666"/>
        </w:rPr>
        <w:t>第二十二条</w:t>
      </w:r>
      <w:bookmarkStart w:id="89" w:name="tiao_22_kuan_1"/>
      <w:bookmarkEnd w:id="89"/>
      <w:r>
        <w:rPr>
          <w:color w:val="666666"/>
          <w:vertAlign w:val="baseline"/>
        </w:rPr>
        <w:t>　电力监管机构对供电企业信息公开的情况实施监管。</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90" w:name="tiao_22_kuan_2"/>
      <w:bookmarkEnd w:id="90"/>
      <w:r>
        <w:rPr>
          <w:color w:val="666666"/>
          <w:vertAlign w:val="baseline"/>
        </w:rPr>
        <w:t>　　供电企业应当按照国家有关规定，采取便于用户获取的方式，公开供电服务信息。供电企业公开信息应当真实、及时、完整。</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91" w:name="tiao_22_kuan_3"/>
      <w:bookmarkEnd w:id="91"/>
      <w:r>
        <w:rPr>
          <w:color w:val="666666"/>
          <w:vertAlign w:val="baseline"/>
        </w:rPr>
        <w:t>　　供电企业应当方便用户查询下列信息：</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92" w:name="tiao_22_kuan_4"/>
      <w:bookmarkEnd w:id="92"/>
      <w:r>
        <w:rPr>
          <w:color w:val="666666"/>
          <w:vertAlign w:val="baseline"/>
        </w:rPr>
        <w:t>　　(一)用电报装信息和办理进度；</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93" w:name="tiao_22_kuan_5"/>
      <w:bookmarkEnd w:id="93"/>
      <w:r>
        <w:rPr>
          <w:color w:val="666666"/>
          <w:vertAlign w:val="baseline"/>
        </w:rPr>
        <w:t>　　(二)用电投诉处理情况；</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94" w:name="tiao_22_kuan_6"/>
      <w:bookmarkEnd w:id="94"/>
      <w:r>
        <w:rPr>
          <w:color w:val="666666"/>
          <w:vertAlign w:val="baseline"/>
        </w:rPr>
        <w:t>　　(三)其他用电信息。</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r>
        <w:rPr>
          <w:color w:val="666666"/>
          <w:vertAlign w:val="baseline"/>
        </w:rPr>
        <w:br w:type="textWrapping"/>
      </w:r>
      <w:bookmarkStart w:id="95" w:name="tiao_23"/>
      <w:bookmarkEnd w:id="95"/>
      <w:r>
        <w:rPr>
          <w:rStyle w:val="18"/>
          <w:color w:val="666666"/>
        </w:rPr>
        <w:t>　　</w:t>
      </w:r>
      <w:r>
        <w:rPr>
          <w:rStyle w:val="18"/>
          <w:b/>
          <w:bCs/>
          <w:color w:val="666666"/>
        </w:rPr>
        <w:t>第二十三条</w:t>
      </w:r>
      <w:bookmarkStart w:id="96" w:name="tiao_23_kuan_1"/>
      <w:bookmarkEnd w:id="96"/>
      <w:r>
        <w:rPr>
          <w:color w:val="666666"/>
          <w:vertAlign w:val="baseline"/>
        </w:rPr>
        <w:t>　电力监管机构对供电企业报送信息的情况实施监管。</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97" w:name="tiao_23_kuan_2"/>
      <w:bookmarkEnd w:id="97"/>
      <w:r>
        <w:rPr>
          <w:color w:val="666666"/>
          <w:vertAlign w:val="baseline"/>
        </w:rPr>
        <w:t>　　供电企业应当按照《</w:t>
      </w:r>
      <w:r>
        <w:rPr>
          <w:color w:val="666666"/>
          <w:vertAlign w:val="baseline"/>
        </w:rPr>
        <w:fldChar w:fldCharType="begin"/>
      </w:r>
      <w:r>
        <w:rPr>
          <w:color w:val="666666"/>
          <w:vertAlign w:val="baseline"/>
        </w:rPr>
        <w:instrText xml:space="preserve"> HYPERLINK "http://20.2.104.72:18081/" \l "/detail/chl/1e7a2fdcefd269fabdfb" </w:instrText>
      </w:r>
      <w:r>
        <w:rPr>
          <w:color w:val="666666"/>
          <w:vertAlign w:val="baseline"/>
        </w:rPr>
        <w:fldChar w:fldCharType="separate"/>
      </w:r>
      <w:r>
        <w:rPr>
          <w:rStyle w:val="19"/>
        </w:rPr>
        <w:t>电力企业信息报送规定</w:t>
      </w:r>
      <w:r>
        <w:rPr>
          <w:rStyle w:val="19"/>
        </w:rPr>
        <w:fldChar w:fldCharType="end"/>
      </w:r>
      <w:r>
        <w:rPr>
          <w:color w:val="666666"/>
          <w:vertAlign w:val="baseline"/>
        </w:rPr>
        <w:t>》向电力监管机构报送信息。供电企业报送信息应当真实、及时、完整。</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r>
        <w:rPr>
          <w:color w:val="666666"/>
          <w:vertAlign w:val="baseline"/>
        </w:rPr>
        <w:br w:type="textWrapping"/>
      </w:r>
      <w:bookmarkStart w:id="98" w:name="tiao_24"/>
      <w:bookmarkEnd w:id="98"/>
      <w:r>
        <w:rPr>
          <w:rStyle w:val="18"/>
          <w:color w:val="666666"/>
        </w:rPr>
        <w:t>　　</w:t>
      </w:r>
      <w:r>
        <w:rPr>
          <w:rStyle w:val="18"/>
          <w:b/>
          <w:bCs/>
          <w:color w:val="666666"/>
        </w:rPr>
        <w:t>第二十四条</w:t>
      </w:r>
      <w:bookmarkStart w:id="99" w:name="tiao_24_kuan_1"/>
      <w:bookmarkEnd w:id="99"/>
      <w:r>
        <w:rPr>
          <w:color w:val="666666"/>
          <w:vertAlign w:val="baseline"/>
        </w:rPr>
        <w:t>　电力监管机构对供电企业执行国家有关节能减排和环境保护政策的情况实施监管。</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100" w:name="tiao_24_kuan_2"/>
      <w:bookmarkEnd w:id="100"/>
      <w:r>
        <w:rPr>
          <w:color w:val="666666"/>
          <w:vertAlign w:val="baseline"/>
        </w:rPr>
        <w:t>　　供电企业应当减少电能输送和供应环节的损失和浪费。</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101" w:name="tiao_24_kuan_3"/>
      <w:bookmarkEnd w:id="101"/>
      <w:r>
        <w:rPr>
          <w:color w:val="666666"/>
          <w:vertAlign w:val="baseline"/>
        </w:rPr>
        <w:t>　　供电企业应当严格执行政府有关部门依法作出的对淘汰企业、关停企业或者环境违法企业采取停限电措施的决定。未收到政府有关部门决定恢复送电的通知，供电企业不得擅自对政府有关部门责令限期整改的用户恢复送电。</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r>
        <w:rPr>
          <w:color w:val="666666"/>
          <w:vertAlign w:val="baseline"/>
        </w:rPr>
        <w:br w:type="textWrapping"/>
      </w:r>
      <w:bookmarkStart w:id="102" w:name="tiao_25"/>
      <w:bookmarkEnd w:id="102"/>
      <w:r>
        <w:rPr>
          <w:rStyle w:val="18"/>
          <w:color w:val="666666"/>
        </w:rPr>
        <w:t>　　</w:t>
      </w:r>
      <w:r>
        <w:rPr>
          <w:rStyle w:val="18"/>
          <w:b/>
          <w:bCs/>
          <w:color w:val="666666"/>
        </w:rPr>
        <w:t>第二十五条</w:t>
      </w:r>
      <w:bookmarkStart w:id="103" w:name="tiao_25_kuan_1"/>
      <w:bookmarkEnd w:id="103"/>
      <w:r>
        <w:rPr>
          <w:color w:val="666666"/>
          <w:vertAlign w:val="baseline"/>
        </w:rPr>
        <w:t>　电力监管机构对供电企业实施电力需求侧管理的情况实施监管。</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104" w:name="tiao_25_kuan_2"/>
      <w:bookmarkEnd w:id="104"/>
      <w:r>
        <w:rPr>
          <w:color w:val="666666"/>
          <w:vertAlign w:val="baseline"/>
        </w:rPr>
        <w:t>　　供电企业应当按照国家有关电力需求侧管理规定，采取有效措施，指导用户科学、合理和节约用电，提高电能使用效率。</w:t>
      </w:r>
    </w:p>
    <w:p>
      <w:pPr>
        <w:pStyle w:val="3"/>
        <w:keepNext w:val="0"/>
        <w:shd w:val="clear" w:color="auto" w:fill="FFFFFF"/>
        <w:spacing w:before="0" w:after="0" w:line="336" w:lineRule="auto"/>
        <w:ind w:left="0" w:right="0"/>
        <w:jc w:val="center"/>
        <w:outlineLvl w:val="9"/>
        <w:rPr>
          <w:b/>
          <w:bCs/>
          <w:color w:val="666666"/>
          <w:vertAlign w:val="baseline"/>
        </w:rPr>
      </w:pPr>
      <w:bookmarkStart w:id="105" w:name="sort3_zhang_3"/>
      <w:bookmarkEnd w:id="105"/>
      <w:r>
        <w:rPr>
          <w:rFonts w:ascii="宋体" w:hAnsi="宋体" w:eastAsia="宋体" w:cs="宋体"/>
          <w:i w:val="0"/>
          <w:iCs w:val="0"/>
          <w:color w:val="666666"/>
          <w:vertAlign w:val="baseline"/>
        </w:rPr>
        <w:t>第三章　监管措施</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r>
        <w:rPr>
          <w:color w:val="666666"/>
          <w:vertAlign w:val="baseline"/>
        </w:rPr>
        <w:br w:type="textWrapping"/>
      </w:r>
      <w:bookmarkStart w:id="106" w:name="tiao_26"/>
      <w:bookmarkEnd w:id="106"/>
      <w:r>
        <w:rPr>
          <w:rStyle w:val="18"/>
          <w:color w:val="666666"/>
        </w:rPr>
        <w:t>　　</w:t>
      </w:r>
      <w:r>
        <w:rPr>
          <w:rStyle w:val="18"/>
          <w:b/>
          <w:bCs/>
          <w:color w:val="666666"/>
        </w:rPr>
        <w:t>第二十六条</w:t>
      </w:r>
      <w:bookmarkStart w:id="107" w:name="tiao_26_kuan_1"/>
      <w:bookmarkEnd w:id="107"/>
      <w:r>
        <w:rPr>
          <w:color w:val="666666"/>
          <w:vertAlign w:val="baseline"/>
        </w:rPr>
        <w:t>　电力监管机构根据履行监管职责的需要，可以要求供电企业报送与监管事项相关的文件、资料，并责令供电企业按照国家规定如实公开有关信息。</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108" w:name="tiao_26_kuan_2"/>
      <w:bookmarkEnd w:id="108"/>
      <w:r>
        <w:rPr>
          <w:color w:val="666666"/>
          <w:vertAlign w:val="baseline"/>
        </w:rPr>
        <w:t>　　电力监管机构应当对供电企业报送信息和公开信息的情况进行监督检查，发现违法行为及时处理。</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r>
        <w:rPr>
          <w:color w:val="666666"/>
          <w:vertAlign w:val="baseline"/>
        </w:rPr>
        <w:br w:type="textWrapping"/>
      </w:r>
      <w:bookmarkStart w:id="109" w:name="tiao_27"/>
      <w:bookmarkEnd w:id="109"/>
      <w:r>
        <w:rPr>
          <w:rStyle w:val="18"/>
          <w:color w:val="666666"/>
        </w:rPr>
        <w:t>　　</w:t>
      </w:r>
      <w:r>
        <w:rPr>
          <w:rStyle w:val="18"/>
          <w:b/>
          <w:bCs/>
          <w:color w:val="666666"/>
        </w:rPr>
        <w:t>第二十七条</w:t>
      </w:r>
      <w:bookmarkStart w:id="110" w:name="tiao_27_kuan_1"/>
      <w:bookmarkEnd w:id="110"/>
      <w:r>
        <w:rPr>
          <w:color w:val="666666"/>
          <w:vertAlign w:val="baseline"/>
        </w:rPr>
        <w:t>　供电企业应当按照电力监管机构的规定将与监管相关的信息系统接入电力监管信息系统。</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r>
        <w:rPr>
          <w:color w:val="666666"/>
          <w:vertAlign w:val="baseline"/>
        </w:rPr>
        <w:br w:type="textWrapping"/>
      </w:r>
      <w:bookmarkStart w:id="111" w:name="tiao_28"/>
      <w:bookmarkEnd w:id="111"/>
      <w:r>
        <w:rPr>
          <w:rStyle w:val="18"/>
          <w:color w:val="666666"/>
        </w:rPr>
        <w:t>　　</w:t>
      </w:r>
      <w:r>
        <w:rPr>
          <w:rStyle w:val="18"/>
          <w:b/>
          <w:bCs/>
          <w:color w:val="666666"/>
        </w:rPr>
        <w:t>第二十八条</w:t>
      </w:r>
      <w:bookmarkStart w:id="112" w:name="tiao_28_kuan_1"/>
      <w:bookmarkEnd w:id="112"/>
      <w:r>
        <w:rPr>
          <w:color w:val="666666"/>
          <w:vertAlign w:val="baseline"/>
        </w:rPr>
        <w:t>　电力监管机构依法履行职责，可以采取下列措施，进行现场检查：</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113" w:name="tiao_28_kuan_2"/>
      <w:bookmarkEnd w:id="113"/>
      <w:r>
        <w:rPr>
          <w:color w:val="666666"/>
          <w:vertAlign w:val="baseline"/>
        </w:rPr>
        <w:t>　　(一)进入供电企业进行检查；</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114" w:name="tiao_28_kuan_3"/>
      <w:bookmarkEnd w:id="114"/>
      <w:r>
        <w:rPr>
          <w:color w:val="666666"/>
          <w:vertAlign w:val="baseline"/>
        </w:rPr>
        <w:t>　　(二)询问供电企业的工作人员，要求其对有关检查事项作出说明；</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115" w:name="tiao_28_kuan_4"/>
      <w:bookmarkEnd w:id="115"/>
      <w:r>
        <w:rPr>
          <w:color w:val="666666"/>
          <w:vertAlign w:val="baseline"/>
        </w:rPr>
        <w:t>　　(三)查阅、复制与检查事项有关的文件、资料，对可能被转移、隐匿、损毁的文件、资料予以封存；</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116" w:name="tiao_28_kuan_5"/>
      <w:bookmarkEnd w:id="116"/>
      <w:r>
        <w:rPr>
          <w:color w:val="666666"/>
          <w:vertAlign w:val="baseline"/>
        </w:rPr>
        <w:t>　　(四)对检查中发现的违法行为，可以当场予以纠正或者要求限期改正。</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r>
        <w:rPr>
          <w:color w:val="666666"/>
          <w:vertAlign w:val="baseline"/>
        </w:rPr>
        <w:br w:type="textWrapping"/>
      </w:r>
      <w:bookmarkStart w:id="117" w:name="tiao_29"/>
      <w:bookmarkEnd w:id="117"/>
      <w:r>
        <w:rPr>
          <w:rStyle w:val="18"/>
          <w:color w:val="666666"/>
        </w:rPr>
        <w:t>　　</w:t>
      </w:r>
      <w:r>
        <w:rPr>
          <w:rStyle w:val="18"/>
          <w:b/>
          <w:bCs/>
          <w:color w:val="666666"/>
        </w:rPr>
        <w:t>第二十九条</w:t>
      </w:r>
      <w:bookmarkStart w:id="118" w:name="tiao_29_kuan_1"/>
      <w:bookmarkEnd w:id="118"/>
      <w:r>
        <w:rPr>
          <w:color w:val="666666"/>
          <w:vertAlign w:val="baseline"/>
        </w:rPr>
        <w:t>　电力监管机构可以在用户中依法开展供电满意度调查等供电情况调查，并向社会公布调查结果。</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r>
        <w:rPr>
          <w:color w:val="666666"/>
          <w:vertAlign w:val="baseline"/>
        </w:rPr>
        <w:br w:type="textWrapping"/>
      </w:r>
      <w:bookmarkStart w:id="119" w:name="tiao_30"/>
      <w:bookmarkEnd w:id="119"/>
      <w:r>
        <w:rPr>
          <w:rStyle w:val="18"/>
          <w:color w:val="666666"/>
        </w:rPr>
        <w:t>　　</w:t>
      </w:r>
      <w:r>
        <w:rPr>
          <w:rStyle w:val="18"/>
          <w:b/>
          <w:bCs/>
          <w:color w:val="666666"/>
        </w:rPr>
        <w:t>第三十条</w:t>
      </w:r>
      <w:bookmarkStart w:id="120" w:name="tiao_30_kuan_1"/>
      <w:bookmarkEnd w:id="120"/>
      <w:r>
        <w:rPr>
          <w:color w:val="666666"/>
          <w:vertAlign w:val="baseline"/>
        </w:rPr>
        <w:t>　供电企业违反国家有关供电监管规定的，电力监管机构应当依法查处并予以记录；造成重大损失或者重大影响的，电力监管机构可以对供电企业的主管人员和其他直接责任人员依法提出处理意见和建议。</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r>
        <w:rPr>
          <w:color w:val="666666"/>
          <w:vertAlign w:val="baseline"/>
        </w:rPr>
        <w:br w:type="textWrapping"/>
      </w:r>
      <w:bookmarkStart w:id="121" w:name="tiao_31"/>
      <w:bookmarkEnd w:id="121"/>
      <w:r>
        <w:rPr>
          <w:rStyle w:val="18"/>
          <w:color w:val="666666"/>
        </w:rPr>
        <w:t>　　</w:t>
      </w:r>
      <w:r>
        <w:rPr>
          <w:rStyle w:val="18"/>
          <w:b/>
          <w:bCs/>
          <w:color w:val="666666"/>
        </w:rPr>
        <w:t>第三十一条</w:t>
      </w:r>
      <w:bookmarkStart w:id="122" w:name="tiao_31_kuan_1"/>
      <w:bookmarkEnd w:id="122"/>
      <w:r>
        <w:rPr>
          <w:color w:val="666666"/>
          <w:vertAlign w:val="baseline"/>
        </w:rPr>
        <w:t>　电力监管机构对供电企业违反国家有关供电监管规定，损害用户合法权益和社会公共利益的行为及其处理情况，可以向社会公布。</w:t>
      </w:r>
    </w:p>
    <w:p>
      <w:pPr>
        <w:pStyle w:val="3"/>
        <w:keepNext w:val="0"/>
        <w:shd w:val="clear" w:color="auto" w:fill="FFFFFF"/>
        <w:spacing w:before="0" w:after="0" w:line="336" w:lineRule="auto"/>
        <w:ind w:left="0" w:right="0"/>
        <w:jc w:val="center"/>
        <w:outlineLvl w:val="9"/>
        <w:rPr>
          <w:b/>
          <w:bCs/>
          <w:color w:val="666666"/>
          <w:vertAlign w:val="baseline"/>
        </w:rPr>
      </w:pPr>
      <w:bookmarkStart w:id="123" w:name="sort4_zhang_4"/>
      <w:bookmarkEnd w:id="123"/>
      <w:r>
        <w:rPr>
          <w:rFonts w:ascii="宋体" w:hAnsi="宋体" w:eastAsia="宋体" w:cs="宋体"/>
          <w:i w:val="0"/>
          <w:iCs w:val="0"/>
          <w:color w:val="666666"/>
          <w:vertAlign w:val="baseline"/>
        </w:rPr>
        <w:t>第四章　罚 则</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r>
        <w:rPr>
          <w:color w:val="666666"/>
          <w:vertAlign w:val="baseline"/>
        </w:rPr>
        <w:br w:type="textWrapping"/>
      </w:r>
      <w:bookmarkStart w:id="124" w:name="tiao_32"/>
      <w:bookmarkEnd w:id="124"/>
      <w:r>
        <w:rPr>
          <w:rStyle w:val="18"/>
          <w:color w:val="666666"/>
        </w:rPr>
        <w:t>　　</w:t>
      </w:r>
      <w:r>
        <w:rPr>
          <w:rStyle w:val="18"/>
          <w:b/>
          <w:bCs/>
          <w:color w:val="666666"/>
        </w:rPr>
        <w:t>第三十二条</w:t>
      </w:r>
      <w:bookmarkStart w:id="125" w:name="tiao_32_kuan_1"/>
      <w:bookmarkEnd w:id="125"/>
      <w:r>
        <w:rPr>
          <w:color w:val="666666"/>
          <w:vertAlign w:val="baseline"/>
        </w:rPr>
        <w:t>　电力监管机构从事监管工作的人员违反电力监管有关规定，损害供电企业、用户的合法权益以及社会公共利益的，依照国家有关规定追究其责任；应当承担纪律责任的，依法给予处分；构成犯罪的，依法追究刑事责任。</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r>
        <w:rPr>
          <w:color w:val="666666"/>
          <w:vertAlign w:val="baseline"/>
        </w:rPr>
        <w:br w:type="textWrapping"/>
      </w:r>
      <w:bookmarkStart w:id="126" w:name="tiao_33"/>
      <w:bookmarkEnd w:id="126"/>
      <w:r>
        <w:rPr>
          <w:rStyle w:val="18"/>
          <w:color w:val="666666"/>
        </w:rPr>
        <w:t>　　</w:t>
      </w:r>
      <w:r>
        <w:rPr>
          <w:rStyle w:val="18"/>
          <w:b/>
          <w:bCs/>
          <w:color w:val="666666"/>
        </w:rPr>
        <w:t>第三十三条</w:t>
      </w:r>
      <w:bookmarkStart w:id="127" w:name="tiao_33_kuan_1"/>
      <w:bookmarkEnd w:id="127"/>
      <w:r>
        <w:rPr>
          <w:color w:val="666666"/>
          <w:vertAlign w:val="baseline"/>
        </w:rPr>
        <w:t>　供电企业违反本办法第六条规定，没有能力对其供电区域内的用户提供供电服务并造成严重后果的，电力监管机构可以吊销电力业务许可证，指定其他供电企业供电。</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r>
        <w:rPr>
          <w:color w:val="666666"/>
          <w:vertAlign w:val="baseline"/>
        </w:rPr>
        <w:br w:type="textWrapping"/>
      </w:r>
      <w:bookmarkStart w:id="128" w:name="tiao_34"/>
      <w:bookmarkEnd w:id="128"/>
      <w:r>
        <w:rPr>
          <w:rStyle w:val="18"/>
          <w:color w:val="666666"/>
        </w:rPr>
        <w:t>　　</w:t>
      </w:r>
      <w:r>
        <w:rPr>
          <w:rStyle w:val="18"/>
          <w:b/>
          <w:bCs/>
          <w:color w:val="666666"/>
        </w:rPr>
        <w:t>第三十四条</w:t>
      </w:r>
      <w:bookmarkStart w:id="129" w:name="tiao_34_kuan_1"/>
      <w:bookmarkEnd w:id="129"/>
      <w:r>
        <w:rPr>
          <w:color w:val="666666"/>
          <w:vertAlign w:val="baseline"/>
        </w:rPr>
        <w:t>　供电企业违反本办法第七条、第八条、第九条、第十条、第十一条、第十二条、第十三条、第十四条、第十五条、第十六条、第二十一条、第二十四条规定的，由电力监管机构责令改正，给予警告；情节严重的，对直接负责的主管人员和其他直接责任人员，依法给予处分。</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r>
        <w:rPr>
          <w:color w:val="666666"/>
          <w:vertAlign w:val="baseline"/>
        </w:rPr>
        <w:br w:type="textWrapping"/>
      </w:r>
      <w:bookmarkStart w:id="130" w:name="tiao_35"/>
      <w:bookmarkEnd w:id="130"/>
      <w:r>
        <w:rPr>
          <w:rStyle w:val="18"/>
          <w:color w:val="666666"/>
        </w:rPr>
        <w:t>　　</w:t>
      </w:r>
      <w:r>
        <w:rPr>
          <w:rStyle w:val="18"/>
          <w:b/>
          <w:bCs/>
          <w:color w:val="666666"/>
        </w:rPr>
        <w:t>第三十五条</w:t>
      </w:r>
      <w:bookmarkStart w:id="131" w:name="tiao_35_kuan_1"/>
      <w:bookmarkEnd w:id="131"/>
      <w:r>
        <w:rPr>
          <w:color w:val="666666"/>
          <w:vertAlign w:val="baseline"/>
        </w:rPr>
        <w:t>　供电企业违反本办法第十八条规定，由电力监管机构责令改正，拒不改正的，处10万元以上100万元以下罚款；对直接负责的主管人员和其他直接责任人员，依法给予处分；情节严重的，可以吊销电力业务许可证。</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r>
        <w:rPr>
          <w:color w:val="666666"/>
          <w:vertAlign w:val="baseline"/>
        </w:rPr>
        <w:br w:type="textWrapping"/>
      </w:r>
      <w:bookmarkStart w:id="132" w:name="tiao_36"/>
      <w:bookmarkEnd w:id="132"/>
      <w:r>
        <w:rPr>
          <w:rStyle w:val="18"/>
          <w:color w:val="666666"/>
        </w:rPr>
        <w:t>　　</w:t>
      </w:r>
      <w:r>
        <w:rPr>
          <w:rStyle w:val="18"/>
          <w:b/>
          <w:bCs/>
          <w:color w:val="666666"/>
        </w:rPr>
        <w:t>第三十六条</w:t>
      </w:r>
      <w:bookmarkStart w:id="133" w:name="tiao_36_kuan_1"/>
      <w:bookmarkEnd w:id="133"/>
      <w:r>
        <w:rPr>
          <w:color w:val="666666"/>
          <w:vertAlign w:val="baseline"/>
        </w:rPr>
        <w:t>　供电企业违反本办法第十九条规定的，电力监管机构可以责令改正并向有关部门提出行政处罚建议。</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r>
        <w:rPr>
          <w:color w:val="666666"/>
          <w:vertAlign w:val="baseline"/>
        </w:rPr>
        <w:br w:type="textWrapping"/>
      </w:r>
      <w:bookmarkStart w:id="134" w:name="tiao_37"/>
      <w:bookmarkEnd w:id="134"/>
      <w:r>
        <w:rPr>
          <w:rStyle w:val="18"/>
          <w:color w:val="666666"/>
        </w:rPr>
        <w:t>　　</w:t>
      </w:r>
      <w:r>
        <w:rPr>
          <w:rStyle w:val="18"/>
          <w:b/>
          <w:bCs/>
          <w:color w:val="666666"/>
        </w:rPr>
        <w:t>第三十七条</w:t>
      </w:r>
      <w:bookmarkStart w:id="135" w:name="tiao_37_kuan_1"/>
      <w:bookmarkEnd w:id="135"/>
      <w:r>
        <w:rPr>
          <w:color w:val="666666"/>
          <w:vertAlign w:val="baseline"/>
        </w:rPr>
        <w:t>　供电企业有下列情形之一的，由电力监管机构责令改正；拒不改正的，处5万元以上50万元以下罚款，对直接负责的主管人员和其他直接责任人员，依法给予处分；构成犯罪的，依法追究刑事责任：</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136" w:name="tiao_37_kuan_2"/>
      <w:bookmarkEnd w:id="136"/>
      <w:r>
        <w:rPr>
          <w:color w:val="666666"/>
          <w:vertAlign w:val="baseline"/>
        </w:rPr>
        <w:t>　　(一)拒绝或者阻碍电力监管机构及其从事监管工作的人员依法履行监管职责的；</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137" w:name="tiao_37_kuan_3"/>
      <w:bookmarkEnd w:id="137"/>
      <w:r>
        <w:rPr>
          <w:color w:val="666666"/>
          <w:vertAlign w:val="baseline"/>
        </w:rPr>
        <w:t>　　(二)提供虚假或者隐瞒重要事实的文件、资料的；</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bookmarkStart w:id="138" w:name="tiao_37_kuan_4"/>
      <w:bookmarkEnd w:id="138"/>
      <w:r>
        <w:rPr>
          <w:color w:val="666666"/>
          <w:vertAlign w:val="baseline"/>
        </w:rPr>
        <w:t>　　(三)未按照国家有关电力监管规章、规则的规定公开有关信息的。</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r>
        <w:rPr>
          <w:color w:val="666666"/>
          <w:vertAlign w:val="baseline"/>
        </w:rPr>
        <w:br w:type="textWrapping"/>
      </w:r>
      <w:bookmarkStart w:id="139" w:name="tiao_38"/>
      <w:bookmarkEnd w:id="139"/>
      <w:r>
        <w:rPr>
          <w:rStyle w:val="18"/>
          <w:color w:val="666666"/>
        </w:rPr>
        <w:t>　　</w:t>
      </w:r>
      <w:r>
        <w:rPr>
          <w:rStyle w:val="18"/>
          <w:b/>
          <w:bCs/>
          <w:color w:val="666666"/>
        </w:rPr>
        <w:t>第三十八条</w:t>
      </w:r>
      <w:bookmarkStart w:id="140" w:name="tiao_38_kuan_1"/>
      <w:bookmarkEnd w:id="140"/>
      <w:r>
        <w:rPr>
          <w:color w:val="666666"/>
          <w:vertAlign w:val="baseline"/>
        </w:rPr>
        <w:t>　对于违反本办法并造成严重后果的供电企业主管人员或者直接责任人员，电力监管机构可以建议将其调离现任岗位，3年内不得担任供电企业同类职务。</w:t>
      </w:r>
    </w:p>
    <w:p>
      <w:pPr>
        <w:pStyle w:val="3"/>
        <w:keepNext w:val="0"/>
        <w:shd w:val="clear" w:color="auto" w:fill="FFFFFF"/>
        <w:spacing w:before="0" w:after="0" w:line="336" w:lineRule="auto"/>
        <w:ind w:left="0" w:right="0"/>
        <w:jc w:val="center"/>
        <w:outlineLvl w:val="9"/>
        <w:rPr>
          <w:b/>
          <w:bCs/>
          <w:color w:val="666666"/>
          <w:vertAlign w:val="baseline"/>
        </w:rPr>
      </w:pPr>
      <w:bookmarkStart w:id="141" w:name="sort5_zhang_5"/>
      <w:bookmarkEnd w:id="141"/>
      <w:r>
        <w:rPr>
          <w:rFonts w:ascii="宋体" w:hAnsi="宋体" w:eastAsia="宋体" w:cs="宋体"/>
          <w:i w:val="0"/>
          <w:iCs w:val="0"/>
          <w:color w:val="666666"/>
          <w:vertAlign w:val="baseline"/>
        </w:rPr>
        <w:t>第五章　附 则</w:t>
      </w:r>
    </w:p>
    <w:p>
      <w:pPr>
        <w:pStyle w:val="11"/>
        <w:pBdr>
          <w:top w:val="none" w:color="auto" w:sz="0" w:space="0"/>
          <w:left w:val="none" w:color="auto" w:sz="0" w:space="0"/>
          <w:bottom w:val="none" w:color="auto" w:sz="0" w:space="0"/>
          <w:right w:val="none" w:color="auto" w:sz="0" w:space="0"/>
        </w:pBdr>
        <w:shd w:val="clear" w:color="auto" w:fill="FFFFFF"/>
        <w:spacing w:before="0" w:after="0" w:line="336" w:lineRule="auto"/>
        <w:ind w:left="0" w:right="0"/>
        <w:rPr>
          <w:color w:val="666666"/>
          <w:vertAlign w:val="baseline"/>
        </w:rPr>
      </w:pPr>
      <w:r>
        <w:rPr>
          <w:color w:val="666666"/>
          <w:vertAlign w:val="baseline"/>
        </w:rPr>
        <w:br w:type="textWrapping"/>
      </w:r>
      <w:bookmarkStart w:id="142" w:name="tiao_39"/>
      <w:bookmarkEnd w:id="142"/>
      <w:r>
        <w:rPr>
          <w:rStyle w:val="18"/>
          <w:color w:val="666666"/>
        </w:rPr>
        <w:t>　　</w:t>
      </w:r>
      <w:r>
        <w:rPr>
          <w:rStyle w:val="18"/>
          <w:b/>
          <w:bCs/>
          <w:color w:val="666666"/>
        </w:rPr>
        <w:t>第三十九条</w:t>
      </w:r>
      <w:bookmarkStart w:id="143" w:name="tiao_39_kuan_1"/>
      <w:bookmarkEnd w:id="143"/>
      <w:r>
        <w:rPr>
          <w:color w:val="666666"/>
          <w:vertAlign w:val="baseline"/>
        </w:rPr>
        <w:t>　本办法所称以上、以下、不低于、不超过，包括本数。</w:t>
      </w:r>
    </w:p>
    <w:p>
      <w:pPr>
        <w:pStyle w:val="11"/>
        <w:pBdr>
          <w:top w:val="none" w:color="auto" w:sz="0" w:space="0"/>
          <w:left w:val="none" w:color="auto" w:sz="0" w:space="0"/>
          <w:bottom w:val="none" w:color="auto" w:sz="0" w:space="0"/>
          <w:right w:val="none" w:color="auto" w:sz="0" w:space="0"/>
        </w:pBdr>
        <w:shd w:val="clear" w:color="auto" w:fill="FFFFFF"/>
        <w:spacing w:before="0" w:after="300" w:line="336" w:lineRule="auto"/>
        <w:ind w:left="0" w:right="0"/>
        <w:rPr>
          <w:color w:val="666666"/>
          <w:vertAlign w:val="baseline"/>
        </w:rPr>
      </w:pPr>
      <w:r>
        <w:rPr>
          <w:color w:val="666666"/>
          <w:vertAlign w:val="baseline"/>
        </w:rPr>
        <w:br w:type="textWrapping"/>
      </w:r>
      <w:bookmarkStart w:id="144" w:name="tiao_40"/>
      <w:bookmarkEnd w:id="144"/>
      <w:r>
        <w:rPr>
          <w:rStyle w:val="18"/>
          <w:color w:val="666666"/>
        </w:rPr>
        <w:t>　　</w:t>
      </w:r>
      <w:r>
        <w:rPr>
          <w:rStyle w:val="18"/>
          <w:b/>
          <w:bCs/>
          <w:color w:val="666666"/>
        </w:rPr>
        <w:t>第四十条</w:t>
      </w:r>
      <w:bookmarkStart w:id="145" w:name="tiao_40_kuan_1"/>
      <w:bookmarkEnd w:id="145"/>
      <w:r>
        <w:rPr>
          <w:color w:val="666666"/>
          <w:vertAlign w:val="baseline"/>
        </w:rPr>
        <w:t>　本办法自2010年1月1日起施行。2005年6月21日电监会发布的《</w:t>
      </w:r>
      <w:r>
        <w:rPr>
          <w:color w:val="666666"/>
          <w:vertAlign w:val="baseline"/>
        </w:rPr>
        <w:fldChar w:fldCharType="begin"/>
      </w:r>
      <w:r>
        <w:rPr>
          <w:color w:val="666666"/>
          <w:vertAlign w:val="baseline"/>
        </w:rPr>
        <w:instrText xml:space="preserve"> HYPERLINK "http://20.2.104.72:18081/" \l "/detail/chl/740b0f1368d9fa23bdfb" </w:instrText>
      </w:r>
      <w:r>
        <w:rPr>
          <w:color w:val="666666"/>
          <w:vertAlign w:val="baseline"/>
        </w:rPr>
        <w:fldChar w:fldCharType="separate"/>
      </w:r>
      <w:r>
        <w:rPr>
          <w:rStyle w:val="19"/>
        </w:rPr>
        <w:t>供电服务监管办法(试行)</w:t>
      </w:r>
      <w:r>
        <w:rPr>
          <w:rStyle w:val="19"/>
        </w:rPr>
        <w:fldChar w:fldCharType="end"/>
      </w:r>
      <w:r>
        <w:rPr>
          <w:color w:val="666666"/>
          <w:vertAlign w:val="baseline"/>
        </w:rPr>
        <w:t>》同时废止。</w:t>
      </w:r>
    </w:p>
    <w:p>
      <w:pPr>
        <w:pStyle w:val="20"/>
        <w:pBdr>
          <w:top w:val="none" w:color="auto" w:sz="0" w:space="15"/>
          <w:left w:val="none" w:color="auto" w:sz="0" w:space="15"/>
          <w:bottom w:val="none" w:color="auto" w:sz="0" w:space="15"/>
          <w:right w:val="none" w:color="auto" w:sz="0" w:space="15"/>
        </w:pBdr>
        <w:spacing w:before="0" w:after="600"/>
        <w:ind w:left="300" w:right="300"/>
        <w:rPr>
          <w:color w:val="666666"/>
          <w:sz w:val="21"/>
          <w:szCs w:val="21"/>
          <w:vertAlign w:val="baseline"/>
        </w:rPr>
      </w:pPr>
      <w:bookmarkStart w:id="146" w:name="_GoBack"/>
      <w:bookmarkEnd w:id="146"/>
      <w:r>
        <w:rPr>
          <w:shd w:val="clear" w:color="auto" w:fill="auto"/>
          <w:vertAlign w:val="baseline"/>
        </w:rPr>
        <w:t xml:space="preserve"> </w:t>
      </w:r>
      <w:r>
        <w:rPr>
          <w:shd w:val="clear" w:color="auto" w:fill="auto"/>
          <w:vertAlign w:val="baseline"/>
        </w:rPr>
        <w:br w:type="textWrapping"/>
      </w:r>
      <w:r>
        <w:rPr>
          <w:shd w:val="clear" w:color="auto" w:fill="auto"/>
          <w:vertAlign w:val="baseline"/>
        </w:rPr>
        <w:br w:type="textWrapping"/>
      </w:r>
      <w:r>
        <w:rPr>
          <w:b/>
          <w:bCs/>
          <w:shd w:val="clear" w:color="auto" w:fill="auto"/>
          <w:vertAlign w:val="baseline"/>
        </w:rPr>
        <w:t>原文链接：</w:t>
      </w:r>
      <w:r>
        <w:rPr>
          <w:b/>
          <w:bCs/>
          <w:shd w:val="clear" w:color="auto" w:fill="auto"/>
          <w:vertAlign w:val="baseline"/>
        </w:rPr>
        <w:fldChar w:fldCharType="begin"/>
      </w:r>
      <w:r>
        <w:rPr>
          <w:b/>
          <w:bCs/>
          <w:shd w:val="clear" w:color="auto" w:fill="auto"/>
          <w:vertAlign w:val="baseline"/>
        </w:rPr>
        <w:instrText xml:space="preserve"> HYPERLINK "http://20.2.104.72:18081/" \l "/detail/chl/7d8ed5991b82cd5cbdfb" \t "_blank" </w:instrText>
      </w:r>
      <w:r>
        <w:rPr>
          <w:b/>
          <w:bCs/>
          <w:shd w:val="clear" w:color="auto" w:fill="auto"/>
          <w:vertAlign w:val="baseline"/>
        </w:rPr>
        <w:fldChar w:fldCharType="separate"/>
      </w:r>
      <w:r>
        <w:rPr>
          <w:rStyle w:val="21"/>
          <w:shd w:val="clear" w:color="auto" w:fill="auto"/>
        </w:rPr>
        <w:t>http://20.2.104.72:18081/#/detail/chl/7d8ed5991b82cd5cbdfb</w:t>
      </w:r>
      <w:r>
        <w:rPr>
          <w:rStyle w:val="21"/>
          <w:shd w:val="clear" w:color="auto" w:fill="auto"/>
        </w:rPr>
        <w:fldChar w:fldCharType="end"/>
      </w:r>
    </w:p>
    <w:sectPr>
      <w:headerReference r:id="rId3" w:type="default"/>
      <w:footerReference r:id="rId4" w:type="default"/>
      <w:pgSz w:w="11906" w:h="16838"/>
      <w:pgMar w:top="1440" w:right="800" w:bottom="1440" w:left="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190500</wp:posOffset>
              </wp:positionV>
              <wp:extent cx="6477000" cy="0"/>
              <wp:effectExtent l="0" t="0" r="0" b="0"/>
              <wp:wrapNone/>
              <wp:docPr id="2" name="直线 2"/>
              <wp:cNvGraphicFramePr/>
              <a:graphic xmlns:a="http://schemas.openxmlformats.org/drawingml/2006/main">
                <a:graphicData uri="http://schemas.microsoft.com/office/word/2010/wordprocessingShape">
                  <wps:wsp>
                    <wps:cNvCnPr/>
                    <wps:spPr>
                      <a:xfrm>
                        <a:off x="0" y="0"/>
                        <a:ext cx="6477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15pt;height:0pt;width:510pt;z-index:251660288;mso-width-relative:page;mso-height-relative:page;" filled="f" stroked="t" coordsize="21600,21600" o:gfxdata="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PDrbl1AAAAAcBAAAPAAAAAAAAAAEAIAAAACIAAABkcnMv&#10;ZG93bnJldi54bWxQSwECFAAUAAAACACHTuJA5UsFXs4BAACNAwAADgAAAAAAAAABACAAAAAjAQAA&#10;ZHJzL2Uyb0RvYy54bWxQSwUGAAAAAAYABgBZAQAAYwUAAAAA&#10;">
              <v:fill on="f" focussize="0,0"/>
              <v:stroke color="#000000" joinstyle="round"/>
              <v:imagedata o:title=""/>
              <o:lock v:ext="edit" aspectratio="f"/>
            </v:line>
          </w:pict>
        </mc:Fallback>
      </mc:AlternateContent>
    </w:r>
  </w:p>
  <w:p>
    <w:pPr>
      <w:jc w:val="left"/>
    </w:pPr>
    <w:r>
      <w:fldChar w:fldCharType="begin"/>
    </w:r>
    <w:r>
      <w:instrText xml:space="preserve"> PAGE </w:instrText>
    </w:r>
    <w:r>
      <w:fldChar w:fldCharType="separate"/>
    </w:r>
    <w:r>
      <w:fldChar w:fldCharType="end"/>
    </w:r>
    <w:r>
      <w:t>/</w:t>
    </w:r>
    <w:r>
      <w:fldChar w:fldCharType="begin"/>
    </w:r>
    <w:r>
      <w:instrText xml:space="preserve"> NUMPAGES </w:instrText>
    </w:r>
    <w:r>
      <w:fldChar w:fldCharType="separate"/>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t xml:space="preserve">                              </w:t>
    </w:r>
  </w:p>
  <w:p>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477000" cy="0"/>
              <wp:effectExtent l="0" t="0" r="0" b="0"/>
              <wp:wrapNone/>
              <wp:docPr id="1" name="直线 1"/>
              <wp:cNvGraphicFramePr/>
              <a:graphic xmlns:a="http://schemas.openxmlformats.org/drawingml/2006/main">
                <a:graphicData uri="http://schemas.microsoft.com/office/word/2010/wordprocessingShape">
                  <wps:wsp>
                    <wps:cNvCnPr/>
                    <wps:spPr>
                      <a:xfrm>
                        <a:off x="0" y="0"/>
                        <a:ext cx="6477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0pt;margin-top:0pt;height:0pt;width:510pt;z-index:251659264;mso-width-relative:page;mso-height-relative:page;" filled="f" stroked="t" coordsize="21600,21600" o:gfxdata="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y2Y29AAAAADAQAADwAAAAAAAAABACAAAAAiAAAAZHJzL2Rvd25y&#10;ZXYueG1sUEsBAhQAFAAAAAgAh07iQP4gnvfNAQAAjQMAAA4AAAAAAAAAAQAgAAAAHwEAAGRycy9l&#10;Mm9Eb2MueG1sUEsFBgAAAAAGAAYAWQEAAF4FAAAAAA==&#10;">
              <v:fill on="f" focussize="0,0"/>
              <v:stroke color="#000000"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3"/>
  <w:displayBackgroundShape w:val="1"/>
  <w:documentProtection w:enforcement="0"/>
  <w:defaultTabStop w:val="7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1B699C"/>
    <w:rsid w:val="783A02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pBdr>
    </w:pPr>
    <w:rPr>
      <w:rFonts w:ascii="宋体" w:hAnsi="宋体" w:eastAsia="宋体" w:cs="宋体"/>
      <w:sz w:val="24"/>
      <w:szCs w:val="24"/>
      <w:vertAlign w:val="baseline"/>
    </w:rPr>
  </w:style>
  <w:style w:type="paragraph" w:styleId="2">
    <w:name w:val="heading 1"/>
    <w:basedOn w:val="1"/>
    <w:next w:val="1"/>
    <w:qFormat/>
    <w:uiPriority w:val="0"/>
    <w:pPr>
      <w:keepNext/>
      <w:pBdr>
        <w:top w:val="none" w:color="auto" w:sz="0" w:space="0"/>
        <w:left w:val="none" w:color="auto" w:sz="0" w:space="0"/>
        <w:bottom w:val="none" w:color="auto" w:sz="0" w:space="0"/>
        <w:right w:val="none" w:color="auto" w:sz="0" w:space="0"/>
      </w:pBdr>
      <w:spacing w:before="240" w:after="60"/>
      <w:outlineLvl w:val="0"/>
    </w:pPr>
    <w:rPr>
      <w:rFonts w:ascii="Times New Roman" w:hAnsi="Times New Roman" w:eastAsia="Times New Roman" w:cs="Times New Roman"/>
      <w:b/>
      <w:bCs/>
      <w:kern w:val="36"/>
      <w:sz w:val="24"/>
      <w:szCs w:val="24"/>
      <w:vertAlign w:val="baseline"/>
    </w:rPr>
  </w:style>
  <w:style w:type="paragraph" w:styleId="3">
    <w:name w:val="heading 2"/>
    <w:basedOn w:val="1"/>
    <w:next w:val="1"/>
    <w:qFormat/>
    <w:uiPriority w:val="0"/>
    <w:pPr>
      <w:keepNext/>
      <w:pBdr>
        <w:top w:val="none" w:color="auto" w:sz="0" w:space="0"/>
        <w:left w:val="none" w:color="auto" w:sz="0" w:space="0"/>
        <w:bottom w:val="none" w:color="auto" w:sz="0" w:space="0"/>
        <w:right w:val="none" w:color="auto" w:sz="0" w:space="0"/>
      </w:pBdr>
      <w:spacing w:before="240" w:after="60"/>
      <w:outlineLvl w:val="1"/>
    </w:pPr>
    <w:rPr>
      <w:rFonts w:ascii="Times New Roman" w:hAnsi="Times New Roman" w:eastAsia="Times New Roman" w:cs="Times New Roman"/>
      <w:b/>
      <w:bCs/>
      <w:iCs/>
      <w:sz w:val="24"/>
      <w:szCs w:val="24"/>
      <w:vertAlign w:val="baseline"/>
    </w:rPr>
  </w:style>
  <w:style w:type="paragraph" w:styleId="4">
    <w:name w:val="heading 3"/>
    <w:basedOn w:val="1"/>
    <w:next w:val="1"/>
    <w:qFormat/>
    <w:uiPriority w:val="0"/>
    <w:pPr>
      <w:keepNext/>
      <w:pBdr>
        <w:top w:val="none" w:color="auto" w:sz="0" w:space="0"/>
        <w:left w:val="none" w:color="auto" w:sz="0" w:space="0"/>
        <w:bottom w:val="none" w:color="auto" w:sz="0" w:space="0"/>
        <w:right w:val="none" w:color="auto" w:sz="0" w:space="0"/>
      </w:pBdr>
      <w:spacing w:before="240" w:after="60"/>
      <w:outlineLvl w:val="2"/>
    </w:pPr>
    <w:rPr>
      <w:rFonts w:ascii="Times New Roman" w:hAnsi="Times New Roman" w:eastAsia="Times New Roman" w:cs="Times New Roman"/>
      <w:b/>
      <w:bCs/>
      <w:sz w:val="24"/>
      <w:szCs w:val="24"/>
      <w:vertAlign w:val="baseline"/>
    </w:rPr>
  </w:style>
  <w:style w:type="paragraph" w:styleId="5">
    <w:name w:val="heading 4"/>
    <w:basedOn w:val="1"/>
    <w:next w:val="1"/>
    <w:qFormat/>
    <w:uiPriority w:val="0"/>
    <w:pPr>
      <w:keepNext/>
      <w:pBdr>
        <w:top w:val="none" w:color="auto" w:sz="0" w:space="0"/>
        <w:left w:val="none" w:color="auto" w:sz="0" w:space="0"/>
        <w:bottom w:val="none" w:color="auto" w:sz="0" w:space="0"/>
        <w:right w:val="none" w:color="auto" w:sz="0" w:space="0"/>
      </w:pBdr>
      <w:spacing w:before="240" w:after="60"/>
      <w:outlineLvl w:val="3"/>
    </w:pPr>
    <w:rPr>
      <w:rFonts w:ascii="Times New Roman" w:hAnsi="Times New Roman" w:eastAsia="Times New Roman" w:cs="Times New Roman"/>
      <w:b/>
      <w:bCs/>
      <w:sz w:val="24"/>
      <w:szCs w:val="24"/>
      <w:vertAlign w:val="baseline"/>
    </w:rPr>
  </w:style>
  <w:style w:type="paragraph" w:styleId="6">
    <w:name w:val="heading 5"/>
    <w:basedOn w:val="1"/>
    <w:next w:val="1"/>
    <w:qFormat/>
    <w:uiPriority w:val="0"/>
    <w:pPr>
      <w:pBdr>
        <w:top w:val="none" w:color="auto" w:sz="0" w:space="0"/>
        <w:left w:val="none" w:color="auto" w:sz="0" w:space="0"/>
        <w:bottom w:val="none" w:color="auto" w:sz="0" w:space="0"/>
        <w:right w:val="none" w:color="auto" w:sz="0" w:space="0"/>
      </w:pBdr>
      <w:spacing w:before="240" w:after="60"/>
      <w:outlineLvl w:val="4"/>
    </w:pPr>
    <w:rPr>
      <w:rFonts w:ascii="Times New Roman" w:hAnsi="Times New Roman" w:eastAsia="Times New Roman" w:cs="Times New Roman"/>
      <w:b/>
      <w:bCs/>
      <w:iCs/>
      <w:sz w:val="24"/>
      <w:szCs w:val="24"/>
      <w:vertAlign w:val="baseline"/>
    </w:rPr>
  </w:style>
  <w:style w:type="paragraph" w:styleId="7">
    <w:name w:val="heading 6"/>
    <w:basedOn w:val="1"/>
    <w:next w:val="1"/>
    <w:qFormat/>
    <w:uiPriority w:val="0"/>
    <w:pPr>
      <w:pBdr>
        <w:top w:val="none" w:color="auto" w:sz="0" w:space="0"/>
        <w:left w:val="none" w:color="auto" w:sz="0" w:space="0"/>
        <w:bottom w:val="none" w:color="auto" w:sz="0" w:space="0"/>
        <w:right w:val="none" w:color="auto" w:sz="0" w:space="0"/>
      </w:pBdr>
      <w:spacing w:before="240" w:after="60"/>
      <w:outlineLvl w:val="5"/>
    </w:pPr>
    <w:rPr>
      <w:rFonts w:ascii="Times New Roman" w:hAnsi="Times New Roman" w:eastAsia="Times New Roman" w:cs="Times New Roman"/>
      <w:b/>
      <w:bCs/>
      <w:sz w:val="24"/>
      <w:szCs w:val="24"/>
      <w:vertAlign w:val="baseline"/>
    </w:rPr>
  </w:style>
  <w:style w:type="character" w:default="1" w:styleId="8">
    <w:name w:val="Default Paragraph Font"/>
    <w:semiHidden/>
    <w:qFormat/>
    <w:uiPriority w:val="0"/>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customStyle="1" w:styleId="10">
    <w:name w:val="fulltext-wrap"/>
    <w:basedOn w:val="1"/>
    <w:qFormat/>
    <w:uiPriority w:val="0"/>
    <w:pPr>
      <w:pBdr>
        <w:top w:val="none" w:color="auto" w:sz="0" w:space="18"/>
        <w:left w:val="none" w:color="auto" w:sz="0" w:space="18"/>
        <w:bottom w:val="none" w:color="auto" w:sz="0" w:space="18"/>
        <w:right w:val="none" w:color="auto" w:sz="0" w:space="18"/>
      </w:pBdr>
      <w:shd w:val="clear" w:color="auto" w:fill="FFFFFF"/>
    </w:pPr>
    <w:rPr>
      <w:shd w:val="clear" w:color="auto" w:fill="FFFFFF"/>
    </w:rPr>
  </w:style>
  <w:style w:type="paragraph" w:customStyle="1" w:styleId="11">
    <w:name w:val="div"/>
    <w:basedOn w:val="1"/>
    <w:uiPriority w:val="0"/>
    <w:pPr>
      <w:pBdr>
        <w:top w:val="none" w:color="auto" w:sz="0" w:space="0"/>
        <w:left w:val="none" w:color="auto" w:sz="0" w:space="0"/>
        <w:bottom w:val="none" w:color="auto" w:sz="0" w:space="0"/>
        <w:right w:val="none" w:color="auto" w:sz="0" w:space="0"/>
      </w:pBdr>
    </w:pPr>
    <w:rPr>
      <w:sz w:val="24"/>
      <w:szCs w:val="24"/>
      <w:vertAlign w:val="baseline"/>
    </w:rPr>
  </w:style>
  <w:style w:type="paragraph" w:customStyle="1" w:styleId="12">
    <w:name w:val="fulltext-wrap_title"/>
    <w:basedOn w:val="1"/>
    <w:qFormat/>
    <w:uiPriority w:val="0"/>
    <w:pPr>
      <w:jc w:val="center"/>
    </w:pPr>
    <w:rPr>
      <w:sz w:val="30"/>
      <w:szCs w:val="30"/>
    </w:rPr>
  </w:style>
  <w:style w:type="paragraph" w:customStyle="1" w:styleId="13">
    <w:name w:val="fulltext-wrap_fields"/>
    <w:basedOn w:val="1"/>
    <w:uiPriority w:val="0"/>
    <w:pPr>
      <w:pBdr>
        <w:top w:val="none" w:color="auto" w:sz="0" w:space="15"/>
        <w:left w:val="none" w:color="auto" w:sz="0" w:space="15"/>
        <w:bottom w:val="none" w:color="auto" w:sz="0" w:space="15"/>
        <w:right w:val="none" w:color="auto" w:sz="0" w:space="15"/>
      </w:pBdr>
      <w:shd w:val="clear" w:color="auto" w:fill="F7F7F7"/>
    </w:pPr>
    <w:rPr>
      <w:shd w:val="clear" w:color="auto" w:fill="F7F7F7"/>
    </w:rPr>
  </w:style>
  <w:style w:type="paragraph" w:customStyle="1" w:styleId="14">
    <w:name w:val="fulltext-wrap_fulltext"/>
    <w:basedOn w:val="1"/>
    <w:qFormat/>
    <w:uiPriority w:val="0"/>
    <w:pPr>
      <w:spacing w:line="336" w:lineRule="auto"/>
    </w:pPr>
    <w:rPr>
      <w:color w:val="666666"/>
      <w:sz w:val="24"/>
      <w:szCs w:val="24"/>
    </w:rPr>
  </w:style>
  <w:style w:type="paragraph" w:customStyle="1" w:styleId="15">
    <w:name w:val="p"/>
    <w:basedOn w:val="1"/>
    <w:uiPriority w:val="0"/>
    <w:pPr>
      <w:pBdr>
        <w:top w:val="none" w:color="auto" w:sz="0" w:space="0"/>
        <w:left w:val="none" w:color="auto" w:sz="0" w:space="0"/>
        <w:bottom w:val="none" w:color="auto" w:sz="0" w:space="0"/>
        <w:right w:val="none" w:color="auto" w:sz="0" w:space="0"/>
      </w:pBdr>
    </w:pPr>
    <w:rPr>
      <w:sz w:val="24"/>
      <w:szCs w:val="24"/>
      <w:vertAlign w:val="baseline"/>
    </w:rPr>
  </w:style>
  <w:style w:type="paragraph" w:customStyle="1" w:styleId="16">
    <w:name w:val="fulltext-wrap_fulltext_TiaoYinV2"/>
    <w:basedOn w:val="1"/>
    <w:qFormat/>
    <w:uiPriority w:val="0"/>
    <w:rPr>
      <w:color w:val="666666"/>
      <w:sz w:val="21"/>
      <w:szCs w:val="21"/>
    </w:rPr>
  </w:style>
  <w:style w:type="paragraph" w:customStyle="1" w:styleId="17">
    <w:name w:val="fulltext-wrap_navzhang"/>
    <w:basedOn w:val="1"/>
    <w:qFormat/>
    <w:uiPriority w:val="0"/>
    <w:pPr>
      <w:spacing w:line="576" w:lineRule="auto"/>
    </w:pPr>
  </w:style>
  <w:style w:type="character" w:customStyle="1" w:styleId="18">
    <w:name w:val="fulltext-wrap_navtiao"/>
    <w:basedOn w:val="8"/>
    <w:uiPriority w:val="0"/>
  </w:style>
  <w:style w:type="character" w:customStyle="1" w:styleId="19">
    <w:name w:val="fulltext-wrap_fulltext_a"/>
    <w:basedOn w:val="8"/>
    <w:uiPriority w:val="0"/>
    <w:rPr>
      <w:color w:val="218FC4"/>
    </w:rPr>
  </w:style>
  <w:style w:type="paragraph" w:customStyle="1" w:styleId="20">
    <w:name w:val="fulltext-wrap_fb-info"/>
    <w:basedOn w:val="1"/>
    <w:uiPriority w:val="0"/>
    <w:pPr>
      <w:pBdr>
        <w:top w:val="none" w:color="auto" w:sz="0" w:space="15"/>
        <w:left w:val="none" w:color="auto" w:sz="0" w:space="15"/>
        <w:bottom w:val="none" w:color="auto" w:sz="0" w:space="15"/>
        <w:right w:val="none" w:color="auto" w:sz="0" w:space="15"/>
      </w:pBdr>
      <w:shd w:val="clear" w:color="auto" w:fill="F2FBFF"/>
      <w:spacing w:line="390" w:lineRule="atLeast"/>
    </w:pPr>
    <w:rPr>
      <w:color w:val="666666"/>
      <w:sz w:val="21"/>
      <w:szCs w:val="21"/>
      <w:shd w:val="clear" w:color="auto" w:fill="F2FBFF"/>
    </w:rPr>
  </w:style>
  <w:style w:type="character" w:customStyle="1" w:styleId="21">
    <w:name w:val="fulltext-wrap_fb-info_a"/>
    <w:basedOn w:val="8"/>
    <w:qFormat/>
    <w:uiPriority w:val="0"/>
    <w:rPr>
      <w:color w:val="FE901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0</Words>
  <Characters>0</Characters>
  <Lines>0</Lines>
  <Paragraphs>0</Paragraphs>
  <TotalTime>3</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2025-05-29T07:23:00Z</dcterms:created>
  <dc:creator>Administrator</dc:creator>
  <cp:lastModifiedBy>Administrator</cp:lastModifiedBy>
  <dcterms:modified xsi:type="dcterms:W3CDTF">2025-06-04T07:40:12Z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1B31E088C9914ECB8E06A32AECFADA42</vt:lpwstr>
  </property>
</Properties>
</file>